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VB.2022.00272 vom 25. August 2022</w:t>
      </w:r>
    </w:p>
    <w:p>
      <w:r>
        <w:t>ZH Verwaltungsgericht, 2022-08-25, DE</w:t>
      </w:r>
    </w:p>
    <w:p>
      <w:r>
        <w:rPr>
          <w:b/>
        </w:rPr>
        <w:t xml:space="preserve">Quelle: </w:t>
      </w:r>
      <w:r>
        <w:t>https://mcp.opencaselaw.ch/entscheid/zh_verwaltungsgericht__VB.2022.00272</w:t>
      </w:r>
    </w:p>
    <w:p>
      <w:r>
        <w:t>FR: ZH_VERWALTUNGSGERICHT VB.2022.00272 du 25 août 2022</w:t>
      </w:r>
    </w:p>
    <w:p>
      <w:r>
        <w:t>IT: ZH_VERWALTUNGSGERICHT VB.2022.00272 del 25 agosto 2022</w:t>
      </w:r>
    </w:p>
    <w:p>
      <w:pPr>
        <w:pStyle w:val="Heading2"/>
      </w:pPr>
      <w:r>
        <w:t>Regeste</w:t>
      </w:r>
    </w:p>
    <w:p>
      <w:r>
        <w:t>Nichtverlängerung der Aufenthaltsbewilligung EU/EFTA | [Nacheheliches Aufenthaltsrecht] Da die Ehe des Beschwerdeführers keine drei Jahre dauerte und keine wichtigen persönlichen Gründe vorliegen, hat der Beschwerdeführer keinen nachehelichen Aufenthaltsanspruch nach Art. 50 Abs. 1 lit. a und b AIG (E. 2). Abweisung.</w:t>
      </w:r>
    </w:p>
    <w:p>
      <w:pPr>
        <w:pStyle w:val="Heading2"/>
      </w:pPr>
      <w:r>
        <w:t>Erwägungen</w:t>
      </w:r>
    </w:p>
    <w:p>
      <w:r>
        <w:rPr>
          <w:b/>
        </w:rPr>
        <w:t>E. 4</w:t>
      </w:r>
    </w:p>
    <w:p>
      <w:r>
        <w:t>Der Beschwerdeführer verfügte vom 27. Februar 2015 bis am 3. Dezember 2019 in der Schweiz über eine gültige Aufenthaltsbewilligung EU/EFTA. Damit erfüllt er die Voraussetzungen für eine vorzeitige Erteilung der Niederlassungsbewilligung nach Art. 34 Abs. 4 AIG nicht. Somit durften die Vorinstanzen darauf verzichten, dem Beschwerdeführer nach pflichtgemässem Ermessen vorzeitig die Niederlassungsbewilligung zu erteilen.</w:t>
      </w:r>
    </w:p>
    <w:p>
      <w:r>
        <w:rPr>
          <w:b/>
        </w:rPr>
        <w:t>E. 5</w:t>
      </w:r>
    </w:p>
    <w:p>
      <w:r>
        <w:t>Da der Beschwerdeführer demnach weder aus dem Landesrecht noch aus dem Völkerrecht einen Anspruch auf Anwesenheit ableiten kann, hatten die Vorinstanzen zu prüfen, ob dem Beschwerdeführer in Abweichung von den allgemeinen Zulassungsvoraussetzungen gestützt auf Art. 30 Abs. 1 lit. b AIG und damit nach pflichtgemässem Ermessen (Art. 96 Abs. 1 AIG) die Aufenthaltsbewilligung zu verlängern ist. In solche Ermessensentscheide kann das Verwaltungsgericht nur eingreifen, wenn ein qualifizierter Ermessensfehler vorliegt, der Entscheid sich insbesondere von sachfremden Motiven leiten lässt (§ 50 VRG). Vorliegend bestehen keine Anhaltspunkte dafür, dass der Beschwerdegegner das ihm zustehende Ermessen in rechtsverletzender Weise ausgeübt hat.</w:t>
      </w:r>
    </w:p>
    <w:p>
      <w:r>
        <w:rPr>
          <w:b/>
        </w:rPr>
        <w:t>E. 6</w:t>
      </w:r>
    </w:p>
    <w:p>
      <w:r>
        <w:t>Die Beschwerde ist abzuweisen. Ausgangsgemäss sind die Gerichtskosten dem Beschwerdeführer aufzuerlegen (§ 65a Abs. 2 in Verbindung mit § 13 Abs.1 Satz 2 VRG).</w:t>
      </w:r>
    </w:p>
    <w:p>
      <w:r>
        <w:rPr>
          <w:b/>
        </w:rPr>
        <w:t>E. 7</w:t>
      </w:r>
    </w:p>
    <w:p>
      <w:r>
        <w:t>Zur Rechtsmittelbelehrung des nachstehenden Dispositivs ist Folgendes zu erläutern: Soweit ein Anwesenheitsanspruch geltend gemacht wird, ist die Beschwerde in öffentlich-rechtlichen Angelegenheiten nach Art. 82 ff. BGG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