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VB.2022.00232 vom 1. September 2022</w:t>
      </w:r>
    </w:p>
    <w:p>
      <w:r>
        <w:t>ZH Verwaltungsgericht, 2022-09-01, DE</w:t>
      </w:r>
    </w:p>
    <w:p>
      <w:r>
        <w:rPr>
          <w:b/>
        </w:rPr>
        <w:t xml:space="preserve">Quelle: </w:t>
      </w:r>
      <w:r>
        <w:t>https://mcp.opencaselaw.ch/entscheid/zh_verwaltungsgericht__VB.2022.00232</w:t>
      </w:r>
    </w:p>
    <w:p>
      <w:r>
        <w:t>FR: ZH_VERWALTUNGSGERICHT VB.2022.00232 du 1 septembre 2022</w:t>
      </w:r>
    </w:p>
    <w:p>
      <w:r>
        <w:t>IT: ZH_VERWALTUNGSGERICHT VB.2022.00232 del 1 settembre 2022</w:t>
      </w:r>
    </w:p>
    <w:p>
      <w:pPr>
        <w:pStyle w:val="Heading2"/>
      </w:pPr>
      <w:r>
        <w:t>Regeste</w:t>
      </w:r>
    </w:p>
    <w:p>
      <w:r>
        <w:t>Aufenthaltsbewilligung | [Familiennachzug einer 35-jährigen Nigerianerin] Der Ehemann der Beschwerdeführerin verfügt über die Niederlassungsbewilligung. Die Voraussetzungen von Art. 43 AIG sind erfüllt; inbesondere ist der monatliche Bedarf des Ehepaars durch deren (zukünftiges) anrechenbares Einkommen gedeckt (zum Ganzen E. 2). Gutheissung.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Soweit ein Anwesenheitsanspruch der Beschwerdeführerin geltend gemacht wird, ist Beschwerde in öffentlich-rechtlichen Angelegenheiten nach Art. 82 ff. des Bundesgerichtsgesetzes vom 17. Juni 2005 (BGG, SR 173.110) zu erheben (vgl. Art. 83 lit. c Ziff. 2 BGG e contrario). Ansonsten steht die subsidiäre Verfassungsbeschwerde gemäss Art. 113 ff. BGG offen. Werden beide Rechtsmittel ergriffen, hat dies in der gleichen Rechtsschrift zu geschehen (Art. 119 Abs. 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