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VB.2022.00198 vom 24. Mai 2022</w:t>
      </w:r>
    </w:p>
    <w:p>
      <w:r>
        <w:t>ZH Verwaltungsgericht, 2022-05-24, DE</w:t>
      </w:r>
    </w:p>
    <w:p>
      <w:r>
        <w:rPr>
          <w:b/>
        </w:rPr>
        <w:t xml:space="preserve">Quelle: </w:t>
      </w:r>
      <w:r>
        <w:t>https://mcp.opencaselaw.ch/entscheid/zh_verwaltungsgericht__VB.2022.00198</w:t>
      </w:r>
    </w:p>
    <w:p>
      <w:r>
        <w:t>FR: ZH_VERWALTUNGSGERICHT VB.2022.00198 du 24 mai 2022</w:t>
      </w:r>
    </w:p>
    <w:p>
      <w:r>
        <w:t>IT: ZH_VERWALTUNGSGERICHT VB.2022.00198 del 24 maggio 2022</w:t>
      </w:r>
    </w:p>
    <w:p>
      <w:pPr>
        <w:pStyle w:val="Heading2"/>
      </w:pPr>
      <w:r>
        <w:t>Regeste</w:t>
      </w:r>
    </w:p>
    <w:p>
      <w:r>
        <w:t>Massnahmen nach Gewaltschutzgesetz | Massnahmen nach Gewaltschutzgesetz: Rechtliche Gehörsverletzung wegen unterlassener Anhörung. Ungenügende Sachverhaltsfeststellung. Der Haftrichter verletzte aufgrund der unterlassenen mündlichen Anhörung das rechtliche Gehör des Beschwerdeführers. Dieser hatte sein Gesuch um gerichtliche Beurteilung der Schutzmassnahmen nach einem Tag Bedenkfrist telefonisch zurückgezogen und damit auf eine Anhörung in diesem Verfahren verzichtet. Anlässlich dieses Telefonats wurde ihm sodann eröffnet, dass unterdessen ein Verlängerungsgesuch der Gegenpartei eingegangen sei und er eine Anhörung verlangen könne. Die daraufhin erfolgte Äusserung des Beschwerdeführers, er habe bei der Polizei diesbezüglich schon alles gesagt, wurde von der Vorinstanz als Verzicht auf eine Anhörung im Verfahren betreffend Verlängerung aufgefasst. Ein Anhörungsverzicht im Beurteilungsverfahren kann nicht auch für das Verlängerungsverfahren gelten. Entgegen der Darstellung der Vorinstanz wurde dem Beschwerdeführer keine Bedenkfrist und Frist zur anwaltlichen Beratung gewährt. Eine Vorladung zu einem Anhörungstermin, worauf er einen expliziten Verzicht hätte erklären können, wurde ihm nicht zugestellt (E. 4.2). Die unterlassene Anhörung führte überdies zu einer ungenügenden Abklärung des Sachverhalts (E. 4.3). Teilweise Gutheissung. Rückweisung zur Anhörung der Parteien und zu neuer Entscheidung.</w:t>
      </w:r>
    </w:p>
    <w:p>
      <w:pPr>
        <w:pStyle w:val="Heading2"/>
      </w:pPr>
      <w:r>
        <w:t>Erwägungen</w:t>
      </w:r>
    </w:p>
    <w:p>
      <w:r>
        <w:rPr>
          <w:b/>
        </w:rPr>
        <w:t>E. 5.1</w:t>
      </w:r>
    </w:p>
    <w:p>
      <w:r>
        <w:t>Die Rückweisung zur erneuten Entscheidung bei offenem Ausgang ist in Bezug auf die Regelung der Nebenfolgen als Obsiegen zu behandeln, wenn die Rechtsmittelinstanz reformatorisch oder kassatorisch entscheiden kann (BGr, 28. April 2014, 2C_846/2013, E. 3.2 f. m. H.; Marco Donatsch in: Alain Griffel [Hrsg.], Kommentar zum Verwaltungsrechtspflegegesetz des Kantons Zürich [ VRG ], 3. A., Zürich etc. 2014 [Kommentar VRG], § 64 N. 5). Die Kosten wären deshalb der Beschwerdegegnerin aufzuerlegen (§ 65a Abs. 2 in Verbindung mit § 13 Abs. 2 Satz 1 VRG). Ergänzend zum Unterliegerprinzip und unabhängig vom Ausgang des Verfahrens kann indes auch das Verursacherprinzip zum Zug kommen (Kaspar Plüss, Kommentar VRG, § 13 N. 55 ff.). Gestützt darauf können auch einem Gemeinwesen oder einer Vorinstanz – insbesondere bei Verletzung von Verfahrensvorschriften –Verfahrenskosten auferlegt werden (Plüss, Kommentar VRG, § 13 N 59). Infolge der festgestellten Gehörsverletzung des Beschwerdeführers und der aus der nicht durchgeführten Anhörung resultierenden ungenügenden Abklärung der Gefährdungssituation sind die Kosten des vorliegenden Verfahrens der Vorinstanz aufzuerlegen. Aus demselben Grund ist diese auch zu verpflichten, dem Beschwerdeführer eine Parteientschädigung für das Beschwerdeverfahren zu bezahlen. Der Beschwerdeführer lässt eine Parteientschädigung in Höhe von Fr. 2'800.- (zuzüglich 7,7 % Mehrwertsteuer) für einen Zeitaufwand von zehn Stunden, der Instruktion, Aktenstudium und Erstellung der Beschwerdeschrift umfasse, beantragen. Da sich vorliegend weder in rechtlicher noch in tatsächlicher Hinsicht besonders schwierige Fragen stellten und § 17 Abs. 2 VRG lediglich eine angemessene Entschädigung vorsieht, erweist sich ein Betrag von Fr. 1'500.- zuzüglich 7,7 % Mehrwertsteuer, insgesamt Fr. 1'615.50, als angemessen (§ 17 Abs. 2 VRG; Plüss, § 17 N. 27, 63, 72, 81). Der Beschwerdegegnerin steht demgegenüber mangels überwiegenden Obsiegens ihrerseits keine Parteientschädigung zu (§ 17 Abs. 2 VRG).</w:t>
      </w:r>
    </w:p>
    <w:p>
      <w:r>
        <w:rPr>
          <w:b/>
        </w:rPr>
        <w:t>E. 6</w:t>
      </w:r>
    </w:p>
    <w:p>
      <w:r>
        <w:t>Der vorliegende Rückweisungsentscheid stellt einen Zwischenentscheid dar (BGE 133 II 409 E. 1.2). Solche Zwischenentscheide sind nach Art. 93 des Bundesgerichtsgesetzes vom 17. Juni 2005 (BGG; SR 173.110) vor Bundesgericht nur dann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