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VB.2022.00163 vom 16. Juni 2022</w:t>
      </w:r>
    </w:p>
    <w:p>
      <w:r>
        <w:t>ZH Verwaltungsgericht, 2022-06-16, DE</w:t>
      </w:r>
    </w:p>
    <w:p>
      <w:r>
        <w:rPr>
          <w:b/>
        </w:rPr>
        <w:t xml:space="preserve">Quelle: </w:t>
      </w:r>
      <w:r>
        <w:t>https://mcp.opencaselaw.ch/entscheid/zh_verwaltungsgericht__VB.2022.00163</w:t>
      </w:r>
    </w:p>
    <w:p>
      <w:r>
        <w:t>FR: ZH_VERWALTUNGSGERICHT VB.2022.00163 du 16 juin 2022</w:t>
      </w:r>
    </w:p>
    <w:p>
      <w:r>
        <w:t>IT: ZH_VERWALTUNGSGERICHT VB.2022.00163 del 16 giugno 2022</w:t>
      </w:r>
    </w:p>
    <w:p>
      <w:pPr>
        <w:pStyle w:val="Heading2"/>
      </w:pPr>
      <w:r>
        <w:t>Regeste</w:t>
      </w:r>
    </w:p>
    <w:p>
      <w:r>
        <w:t>Aufenthaltsbewilligung (Wiedererwägung) | [Verlängerung der Aufenthaltsbewilligung. Wiedererwägung.] Der Beschwerdeführer begründet sein Wiedererwägungsgesuch insbesondere mit Vorbringen, welche in ein Rechtsmittelverfahren gehören. Ein Wiedererwägungsverfahren dient nicht dazu, die Fristen für die Ergreifung von Rechtsmitteln zu umgehen bzw. im ursprünglichen Verfahren Versäumtes nachzuholen (zum Ganzen E. 3). Abweisung.</w:t>
      </w:r>
    </w:p>
    <w:p>
      <w:pPr>
        <w:pStyle w:val="Heading2"/>
      </w:pPr>
      <w:r>
        <w:t>Erwägungen</w:t>
      </w:r>
    </w:p>
    <w:p>
      <w:r>
        <w:rPr>
          <w:b/>
        </w:rPr>
        <w:t>E. 4</w:t>
      </w:r>
    </w:p>
    <w:p>
      <w:r>
        <w:t>Nach dem Gesagten ist die Beschwerde abzuweisen.</w:t>
      </w:r>
    </w:p>
    <w:p>
      <w:r>
        <w:rPr>
          <w:b/>
        </w:rPr>
        <w:t>E. 5.1</w:t>
      </w:r>
    </w:p>
    <w:p>
      <w:r>
        <w:t>Gemäss Praxis des Verwaltungsgerichts können die Kosten ausnahmsweise dem Rechtsvertreter auferlegt werden, wenn etwa die Rechtsmitteleingabe prozessual völlig ungenügend ist bzw. der Vertreter ein unzulässiges Rechtsmittel erhebt (vgl. VGr, 28. Oktober 2021, VB.2021.00497, E. 5.1 – 28. Oktober 2021, VB.2021.00411, E. 2.1 – 29. April 2020, VB.2020.00207, E. 2.1 – 2. Mai 2018, VB.2017.00705, E. 3.1; Kaspar Plüss, in: Alain Griffel [Hrsg.], Kommentar zum Verwaltungsrechtspflegegesetz des Kantons Zürich [VRG], 3. A., Zürich etc. 2014 [Kommentar VRG], § 13 N. 60). Vorliegend reichte der Vertreter des Beschwerdeführers ein (aussichtsloses) Wiedererwägungsgesuch ein. Aufgrund der zeitlichen Abläufe (vorn, E. 3.2) und den Akten erscheint möglich, dass es der Vertreter schlicht versäumte, (rechtzeitig) ein Rechtsmittel einzulegen und nun hier versucht nachzuholen, was er damals unterlassen hat. Dass es sich so zugetragen hat, ergibt sich jedoch nicht mit Sicherheit aus den Akten. Von einer Kostenauflage an den Vertreter des Beschwerdeführers ist demnach abzusehen.</w:t>
      </w:r>
    </w:p>
    <w:p>
      <w:r>
        <w:rPr>
          <w:b/>
        </w:rPr>
        <w:t>E. 5.2</w:t>
      </w:r>
    </w:p>
    <w:p>
      <w:r>
        <w:t>Nach dem Gesagten sind die Gerichtskosten ausgangsgemäss dem unterliegenden Beschwerdeführer aufzuerlegen (§ 65a Abs. 2 in Verbindung mit § 13 Abs. 2 Satz 1 VRG).</w:t>
      </w:r>
    </w:p>
    <w:p>
      <w:r>
        <w:rPr>
          <w:b/>
        </w:rPr>
        <w:t>E. 5.3</w:t>
      </w:r>
    </w:p>
    <w:p>
      <w:r>
        <w:t>Eine Parteientschädigung steht ihm nicht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