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VB.2022.00151 vom 9. April 2020</w:t>
      </w:r>
    </w:p>
    <w:p>
      <w:r>
        <w:t>ZH Verwaltungsgericht, 2020-04-09, DE</w:t>
      </w:r>
    </w:p>
    <w:p>
      <w:r>
        <w:rPr>
          <w:b/>
        </w:rPr>
        <w:t xml:space="preserve">Quelle: </w:t>
      </w:r>
      <w:r>
        <w:t>https://mcp.opencaselaw.ch/entscheid/zh_verwaltungsgericht__VB.2022.00151</w:t>
      </w:r>
    </w:p>
    <w:p>
      <w:r>
        <w:t>FR: ZH_VERWALTUNGSGERICHT VB.2022.00151 du 9 avril 2020</w:t>
      </w:r>
    </w:p>
    <w:p>
      <w:r>
        <w:t>IT: ZH_VERWALTUNGSGERICHT VB.2022.00151 del 9 aprile 2020</w:t>
      </w:r>
    </w:p>
    <w:p>
      <w:pPr>
        <w:pStyle w:val="Heading2"/>
      </w:pPr>
      <w:r>
        <w:t>Regeste</w:t>
      </w:r>
    </w:p>
    <w:p>
      <w:r>
        <w:t>Kurzaufenthaltsbewilligung zur Vorbereitung der Heirat (aufschiebende Wirkung des Rekursverfahrens und Vollzugsstopp) | [Prozedurales Aufenthaltsrecht während des Rekursverfahrens] Nach einer erfolgten Hochzeit mit seiner Schweizer Verlobten hat der Beschwerdeführer grundsätzlich Anspruch auf Erteilung einer Aufenthaltsbewilligung gemäss Art. 42 Abs. 1 AIG. Die diesbezüglichen Zulassungsvoraussetzungen sind aufgrund einer summarischen Würdigung der Sach- und Rechtslage jedoch nicht offensichtlich erfüllt, da der Beschwerdeführer den Widerrufsgrund gemäss Art. 63 Abs. 1 lit. a in Verbindung mit Art. 62 Abs. 1 lit. b AIG gesetzt hat und aufgrund einer summarischen Würdigung der Sachlage nicht gesagt werden kann, dass mit dem Eheschluss in absehbarer Zeit zu rechnen ist. Gutheissung UP/URB Abweisung.</w:t>
      </w:r>
    </w:p>
    <w:p>
      <w:pPr>
        <w:pStyle w:val="Heading2"/>
      </w:pPr>
      <w:r>
        <w:t>Erwägungen</w:t>
      </w:r>
    </w:p>
    <w:p>
      <w:r>
        <w:rPr>
          <w:b/>
        </w:rPr>
        <w:t>E. 4</w:t>
      </w:r>
    </w:p>
    <w:p>
      <w:r>
        <w:t>Zur Rechtsmittelbelehrung des nachstehenden Dispositivs ist Folgendes zu erläutern: Soweit ein Anwesenheitsanspruch des Beschwerdeführers geltend gemacht wird, ist die Beschwerde in öffentlich-rechtlichen Angelegenheiten nach Art. 82 ff. BGG zulässig. Ansonsten steht die subsidiäre Verfassungsbeschwerde gemäss Art. 113 ff. BGG offen. Werden beide Rechtsmittel ergriffen, hat dies in der gleichen Rechtsschrift zu geschehen (Art. 119 Abs. 1 BGG). Da es sich bei dem vorliegenden Urteil ebenfalls um einen Zwischenentscheid handelt (Bertschi, § 19a N. 32; VGr, 9. April 2020, VB.2020.00145, E. 6), lässt sich das Bundesgericht allerdings im Sinn des Art. 93 BGG nur anrufen, wenn ein nicht wiedergutzumachender Nachteil drohte oder wenn die Gutheissung der Beschwerde sofort einen Endentscheid herbeiführen könnte und so ein bedeutender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