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VB.2022.00150 vom 28. Juli 2022</w:t>
      </w:r>
    </w:p>
    <w:p>
      <w:r>
        <w:t>ZH Verwaltungsgericht, 2022-07-28, DE</w:t>
      </w:r>
    </w:p>
    <w:p>
      <w:r>
        <w:rPr>
          <w:b/>
        </w:rPr>
        <w:t xml:space="preserve">Quelle: </w:t>
      </w:r>
      <w:r>
        <w:t>https://mcp.opencaselaw.ch/entscheid/zh_verwaltungsgericht__VB.2022.00150</w:t>
      </w:r>
    </w:p>
    <w:p>
      <w:r>
        <w:t>FR: ZH_VERWALTUNGSGERICHT VB.2022.00150 du 28 juillet 2022</w:t>
      </w:r>
    </w:p>
    <w:p>
      <w:r>
        <w:t>IT: ZH_VERWALTUNGSGERICHT VB.2022.00150 del 28 luglio 2022</w:t>
      </w:r>
    </w:p>
    <w:p>
      <w:pPr>
        <w:pStyle w:val="Heading2"/>
      </w:pPr>
      <w:r>
        <w:t>Regeste</w:t>
      </w:r>
    </w:p>
    <w:p>
      <w:r>
        <w:t>Covid-19-Härtefallprogramm: 2. und 3. Zuteilungsrunde (Parteientschädigung) | [Die Vorinstanz hielt eine Parteientschädigung für das Rekursverfahren in der Höhe von Fr. 1'500.- für angemessen. Die Beschwerdeführerin verlangt eine Parteientschädigung von Fr. 47'398.- (inkl. MwSt.).] Die Ermessensausübung der Vorinstanz bei der Bestimmung einer angemessenen Parteientschädigung erfolgte in rechtsverletzender Art und Weise (E. 2.5). Unter Berücksichtigung der konkreten Umstände des Einzelfalls, insbesondere der Bedeutung der Streitsache und der Schwierigkeit des Prozesses, erweist sich eine Parteientschädigung in der Höhe von Fr. 6'000.- für das Rekursverfahren als angemessen (E. 2.6).</w:t>
      </w:r>
    </w:p>
    <w:p>
      <w:pPr>
        <w:pStyle w:val="Heading2"/>
      </w:pPr>
      <w:r>
        <w:t>Erwägungen</w:t>
      </w:r>
    </w:p>
    <w:p>
      <w:r>
        <w:rPr>
          <w:b/>
        </w:rPr>
        <w:t>E. 4</w:t>
      </w:r>
    </w:p>
    <w:p>
      <w:r>
        <w:t>Ausgangsgemäss sind die Kosten des Beschwerdeverfahrens zu 9/10 der Beschwerdeführerin und zu 1/10 dem Beschwerdegegner aufzuerlegen (§ 65a Abs. 2 in Verbindung mit § 13 Abs. 2 Satz 1 VRG). Mangels überwiegenden Obsiegens steht der Beschwerdeführerin für das Beschwerdeverfahren keine Parteientschädigung zu (§ 65a Abs. 2 VRG in Verbindung mit § 17 Abs. 2 VRG).</w:t>
      </w:r>
    </w:p>
    <w:p>
      <w:r>
        <w:rPr>
          <w:b/>
        </w:rPr>
        <w:t>E. 5</w:t>
      </w:r>
    </w:p>
    <w:p>
      <w:r>
        <w:t>Zur Rechtsmittelbelehrung des nachstehenden Dispositivs ist Folgendes zu erläutern: Gegen dieses nur die Parteientschädigung betreffende Urteil steht das gleiche Rechtsmittel zur Verfügung, wie wenn es (auch noch) um die Hauptsache ginge.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