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VB.2022.00127 vom 25. August 2022</w:t>
      </w:r>
    </w:p>
    <w:p>
      <w:r>
        <w:t>ZH Verwaltungsgericht, 2022-08-25, DE</w:t>
      </w:r>
    </w:p>
    <w:p>
      <w:r>
        <w:rPr>
          <w:b/>
        </w:rPr>
        <w:t xml:space="preserve">Quelle: </w:t>
      </w:r>
      <w:r>
        <w:t>https://mcp.opencaselaw.ch/entscheid/zh_verwaltungsgericht__VB.2022.00127</w:t>
      </w:r>
    </w:p>
    <w:p>
      <w:r>
        <w:t>FR: ZH_VERWALTUNGSGERICHT VB.2022.00127 du 25 août 2022</w:t>
      </w:r>
    </w:p>
    <w:p>
      <w:r>
        <w:t>IT: ZH_VERWALTUNGSGERICHT VB.2022.00127 del 25 agosto 2022</w:t>
      </w:r>
    </w:p>
    <w:p>
      <w:pPr>
        <w:pStyle w:val="Heading2"/>
      </w:pPr>
      <w:r>
        <w:t>Regeste</w:t>
      </w:r>
    </w:p>
    <w:p>
      <w:r>
        <w:t>nachehelichen Aufenthalt | Der 1976 geborene, aus Serbien stammende Beschwerdeführer erhielt 2015 eine Aufenthaltsbewilligung zum Verbleib bei seiner in der Schweiz niedergelassenen Ehefrau. 2020 wurde die eheliche Gemeinschaft aufgegeben. Der Beschwerdeführer und seine Ehefrau mussten während der ehelichen Gemeinschaft von der Sozialhilfe unterstützt werden, wobei sie sich Anfang 2018 von der Sozialhilfe lösen konnten (E. 2.4). Der Beschwerdeführer verschuldete sich ab diesem Zeitpunkt jedoch in erhöhtem Masse (E. 2.5). Er erwirkte mehrere Straferkenntnisse (E. 2.6). Der Beschwerdeführer vermag keinerlei Deutschkenntnisse aufzuzueigen (E. 2.7). Insgesamt kann ihm keine erfolgreiche Integration attestiert werden (E. 2.8).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und es ist diesem keine Parteientschädigung zuzusprechen (§ 65a Abs. 2 in Verbindung mit § 13 Abs. 2 Satz 1 VRG,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