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VB.2022.00036 vom 2. September 2015</w:t>
      </w:r>
    </w:p>
    <w:p>
      <w:r>
        <w:t>ZH Verwaltungsgericht, 2015-09-02, DE</w:t>
      </w:r>
    </w:p>
    <w:p>
      <w:r>
        <w:rPr>
          <w:b/>
        </w:rPr>
        <w:t xml:space="preserve">Quelle: </w:t>
      </w:r>
      <w:r>
        <w:t>https://mcp.opencaselaw.ch/entscheid/zh_verwaltungsgericht__VB.2022.00036</w:t>
      </w:r>
    </w:p>
    <w:p>
      <w:r>
        <w:t>FR: ZH_VERWALTUNGSGERICHT VB.2022.00036 du 2 septembre 2015</w:t>
      </w:r>
    </w:p>
    <w:p>
      <w:r>
        <w:t>IT: ZH_VERWALTUNGSGERICHT VB.2022.00036 del 2 settembre 2015</w:t>
      </w:r>
    </w:p>
    <w:p>
      <w:pPr>
        <w:pStyle w:val="Heading2"/>
      </w:pPr>
      <w:r>
        <w:t>Regeste</w:t>
      </w:r>
    </w:p>
    <w:p>
      <w:r>
        <w:t>Sozialhilfe | [Rechtsverzögerung] Eine Rechtsverzögerungsbeschwerde zielt darauf ab, die säumige Instanz zu einer beförderlichen Verfahrenserledigung anzuhalten. Sie muss deshalb erhoben werden, so lange der Entscheid der untätigen Behörde noch aussteht. Auf eine Rechtsverzögerungsbeschwerde, die erst nach Erlass des Entscheids erhoben wird, ist mangels eines aktuellen Rechtsschutzinteresses nicht einzutreten (E. 2.1). Der Beschwerdeführer hat erst nach Erlass der als verzögert gerügten Anordnung ein Rechtsmittel wegen Rechtsverzögerung bei der Sozialbehörde erhoben. Es fehlte ihm deshalb von Anfang an an einem aktuellen und praktischen Rechtsschutzinteresse; die Sozialbehörde ist auf sein Rechtsmittel zu Recht nicht eingetreten, und der Bezirksrat hat den in der Folge erhobenen Rekurs zu Recht abgewiesen (E. 2.2). Abweisung UP. Abweisung, soweit auf die Beschwerde eingetreten wird.</w:t>
      </w:r>
    </w:p>
    <w:p>
      <w:pPr>
        <w:pStyle w:val="Heading2"/>
      </w:pPr>
      <w:r>
        <w:t>Erwägungen</w:t>
      </w:r>
    </w:p>
    <w:p>
      <w:r>
        <w:rPr>
          <w:b/>
        </w:rPr>
        <w:t>E. 3</w:t>
      </w:r>
    </w:p>
    <w:p>
      <w:r>
        <w:t>Nach dem Gesagten ist die Beschwerde abzuweisen, soweit darauf eingetreten wird.</w:t>
      </w:r>
    </w:p>
    <w:p>
      <w:r>
        <w:rPr>
          <w:b/>
        </w:rPr>
        <w:t>E. 4.1</w:t>
      </w:r>
    </w:p>
    <w:p>
      <w:r>
        <w:t>Ausgangsgemäss sind die Gerichtskosten dem unterliegenden Beschwerdeführer aufzuerlegen (§ 65a Abs. 2 in Verbindung mit § 13 Abs. 2 Satz 1 VRG). Eine Parteientschädigung ist ihm nicht zuzusprechen (§ 17 Abs. 2 VRG). Zu prüfen bleibt sein sinngemässes Gesuch um unentgeltliche Prozessführung:</w:t>
      </w:r>
    </w:p>
    <w:p>
      <w:r>
        <w:rPr>
          <w:b/>
        </w:rPr>
        <w:t>E. 4.2</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 Von der Mittellosigkeit des Beschwerdeführers kann aufgrund seiner Sozialhilfeabhängigkeit ausgegangen werden (vgl. Plüss, § 16 N. 41). Mit Blick auf die vorstehenden Erwägungen haben seine Begehren jedoch als offenkundig aussichtslos zu gelten. Folglich ist das Gesuch um Gewährung unentgeltlicher Prozessführung abzuweisen.</w:t>
      </w:r>
    </w:p>
    <w:p>
      <w:r>
        <w:rPr>
          <w:b/>
        </w:rPr>
        <w:t>E. 5</w:t>
      </w:r>
    </w:p>
    <w:p>
      <w:r>
        <w:t>Zur Rechtsmittelbelehrung des nachfolgenden Dispositivs ist Folgendes zu erläutern: Soweit der vorinstanzliche Beschluss einen Zwischenentscheid darstellt, ist das vorliegende Urteil ebenfalls ein solcher (Bertschi, § 19a N. 32; VGr, 2. September 2015, VB.2015.00438, E. 8). Das Bundesgericht lässt sich daher im Sinn des Art. 93 BGG insoweit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