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VB.2022.00006 vom 16. März 2022</w:t>
      </w:r>
    </w:p>
    <w:p>
      <w:r>
        <w:t>ZH Verwaltungsgericht, 2022-03-16, DE</w:t>
      </w:r>
    </w:p>
    <w:p>
      <w:r>
        <w:rPr>
          <w:b/>
        </w:rPr>
        <w:t xml:space="preserve">Quelle: </w:t>
      </w:r>
      <w:r>
        <w:t>https://mcp.opencaselaw.ch/entscheid/zh_verwaltungsgericht__VB.2022.00006</w:t>
      </w:r>
    </w:p>
    <w:p>
      <w:r>
        <w:t>FR: ZH_VERWALTUNGSGERICHT VB.2022.00006 du 16 mars 2022</w:t>
      </w:r>
    </w:p>
    <w:p>
      <w:r>
        <w:t>IT: ZH_VERWALTUNGSGERICHT VB.2022.00006 del 16 marzo 2022</w:t>
      </w:r>
    </w:p>
    <w:p>
      <w:pPr>
        <w:pStyle w:val="Heading2"/>
      </w:pPr>
      <w:r>
        <w:t>Regeste</w:t>
      </w:r>
    </w:p>
    <w:p>
      <w:r>
        <w:t>Kurzaufenthaltsbewilligung zur Vorbereitung der Heirat | Kurzaufenthaltsbewilligung zur Ehevorbereitung: Erforderlichkeit einer Anhörung der Verlobten durch die Migrationsbehörden? [Die Niederlassungsbewilligung des Beschwerdeführers wurde rechtskräftig widerrufen. Das SEM verweigerte ferner die Zustimmung zur Erteilung einer Aufenthaltsbewilligung, da es sich bei der anspruchsbegründenden Ehe um eine Scheinehe gehandelt habe. Dieser Entscheid wurde im November 2020 letztinstanzlich vom Bundesgericht geschützt. Im Dezember 2020 leitete der Beschwerdeführer ein Ehevorbereitungsverfahren mit einer hier niedergelassenen Eritreerin ein. Wegen Scheineheverdachts verweigerten ihm die Vorinstanzen die Erteilung einer Kurzaufenthaltsbewilligung zur Durchführung der Ehevorbereitung.] Ausländische Staatsangehörige müssen im Ehevorbereitungsverfahren den Nachweis des rechtmässigen Aufenthalts in der Schweiz erbringen (E. 2.1). Während der Behandlung des Gesuchs müssen sich die betroffenen Ausländer ohne legalen Aufenthalt grundsätzlich im Ausland aufhalten. Ausnahmen sind aber möglich, wenn die Zulassungsvoraussetzungen nach der Heirat offensichtlich erfüllt sein werden und keine Anhaltspunkte für einen Missbrauch der Bestimmungen über den Familiennachzug vorliegen (analog Art. 17 AIG) (E. 2.2). Ferner kann ausländischen Personen zur Vorbereitung der Heirat mit hier aufenthaltsberechtigten Personen gestützt auf Art. 30 Abs. 1 lit. b AIG in Verbindung mit Art. 31 VZAE unter analogen Voraussetzungen auch eine Kurzaufenthaltsbewilligung von in der Regel nicht mehr als 6 Monaten erteilt werden (E. 2.3). Gestützt auf Art. 12 EMRK bzw. Art. 14 BV (Recht auf Eheschliessung) sind die Migrationsbehörden gehalten, eine (Kurz-) Aufenthaltsbewilligung zur Vorbereitung der Ehe zu erteilen, wenn keine Hinweise auf eine Scheinehe bestehen und "klar" erscheint, dass die ausländische Person nach der Heirat mit dem Ehepartner in der Schweiz wird verbleiben können (E. 2.4). Die Verweigerung der Erteilung einer Kurzaufenthaltsbewilligung setztnicht den Nachweis einer Scheinehe voraus. Vielmehr ist das Migrationsamt gehalten, keine Kurzaufenthaltsbewilligung zu erteilen, sofern Hinweise für ein rechtsmissbräuchliches Handeln vorliegen. Sie hat dies summarisch zu prüfen, weshalb sie i.d.R. keine weiteren Untersuchungen wie die Befragung der Ehewilligen zu veranlassen hat. Der Beschwerdeführer brachte erstmals vor Verwaltungsgericht vor, er und seine Verlobte hätten von den Vorinstanzen persönlich angehört werden müssen. Vorliegend war die Verwaltungsbehörde auch ohne entsprechenden Antrag gehalten, eine Befragung der Beteiligten anzuordnen, behauptete doch der Beschwerdeführer eine mehrjährige Beziehung mit seiner Verlobten. Dies gilt insbesondere vor dem Hintergrund, dass die Verlobten auch nie schriftlich zur Sache, z.B. mittels schriftlichem Fragekatalog, befragt wurden. Ungeachtet der festgestellten Untersuchungspflichtverletzung durch die Behörden muss sich der Beschwerdeführer den Vorwurf der Verletzung seiner Mitwirkungspflicht entgegenhalten lassen: Als ausländische Person traf ihn bei der Feststellung des entsprechenden Sachverhalts eine weitreichende Mitwirkungspflicht (Art. 90 AIG). Der Beschwerdeführer beschränkte sich indessen darauf, lediglich rudimentäre Angaben zu seiner Beziehung zu machen und liess so die Behörden über den rechtserheblichen Sachverhalt weitestgehend im Dunkeln (E. 4.2). Rückweisung an die Vorinstanz, insbesondere zur Anhörung der Verlobten.</w:t>
      </w:r>
    </w:p>
    <w:p>
      <w:pPr>
        <w:pStyle w:val="Heading2"/>
      </w:pPr>
      <w:r>
        <w:t>Erwägungen</w:t>
      </w:r>
    </w:p>
    <w:p>
      <w:r>
        <w:rPr>
          <w:b/>
        </w:rPr>
        <w:t>E. 5.1</w:t>
      </w:r>
    </w:p>
    <w:p>
      <w:r>
        <w:t>Eine Rückweisung zu neuem Entscheid bei offenem Ausgang ist in Bezug auf die Nebenfolgen als Obsiegen der beschwerdeführenden Partei zu behandeln (BGr, 28. April 2014, 2C_846/2013, E. 3.2 f. mit Hinweisen; Marco Donatsch in: Kommentar VRG, § 64 N. 5). Damit sind die Kosten des vorliegenden Verfahrens dem unterliegenden Beschwerdegegner aufzuerlegen und ist dieser für das verwaltungsgerichtliche Beschwerdeverfahren zur Bezahlung einer angemessenen Parteientschädigung von Fr. 1'500.- zu verpflichten (§ 65a Abs. 2 in Verbindung mit § 13 Abs. 2 VRG sowie § 17 Abs. 2 VRG).</w:t>
      </w:r>
    </w:p>
    <w:p>
      <w:r>
        <w:rPr>
          <w:b/>
        </w:rPr>
        <w:t>E. 5.2</w:t>
      </w:r>
    </w:p>
    <w:p>
      <w:r>
        <w:t>Über die Kosten- und Entschädigungsfolgen des Rekursverfahrens hat die Vorinstanz im Neuentscheid zu befinden.</w:t>
      </w:r>
    </w:p>
    <w:p>
      <w:r>
        <w:rPr>
          <w:b/>
        </w:rPr>
        <w:t>E. 6</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