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VB.2021.00824 vom 19. Januar 2022</w:t>
      </w:r>
    </w:p>
    <w:p>
      <w:r>
        <w:t>ZH Verwaltungsgericht, 2022-01-19, DE</w:t>
      </w:r>
    </w:p>
    <w:p>
      <w:r>
        <w:rPr>
          <w:b/>
        </w:rPr>
        <w:t xml:space="preserve">Quelle: </w:t>
      </w:r>
      <w:r>
        <w:t>https://mcp.opencaselaw.ch/entscheid/zh_verwaltungsgericht__VB.2021.00824</w:t>
      </w:r>
    </w:p>
    <w:p>
      <w:r>
        <w:t>FR: ZH_VERWALTUNGSGERICHT VB.2021.00824 du 19 janvier 2022</w:t>
      </w:r>
    </w:p>
    <w:p>
      <w:r>
        <w:t>IT: ZH_VERWALTUNGSGERICHT VB.2021.00824 del 19 gennaio 2022</w:t>
      </w:r>
    </w:p>
    <w:p>
      <w:pPr>
        <w:pStyle w:val="Heading2"/>
      </w:pPr>
      <w:r>
        <w:t>Regeste</w:t>
      </w:r>
    </w:p>
    <w:p>
      <w:r>
        <w:t>Widerruf der Aufenthaltsbewilligung | [Nichtverlängerung der Aufenthaltsbewilligung einer 36-jährigen philippinischen Staatsangehörigen wegen erfüllten Aufenthaltszwecks] Wie das Verwaltungsgericht bereits in VB.2020.00118 erwog, wird aus Wortlaut und Zweck von Art. 38 Abs. 2 AIG klar, dass eine Bedingung gemäss Art. 33 Abs. 2 AIG, welche den freien Stellenwechsel einschränkt bzw. von einem arbeitsmarktlichen Vorentscheid abhängig macht, nicht haltbar ist (E. 2.3.1). Die Beschwedeführerin erhielt am 11. Januar 2018 eine Aufenthaltsbewilligung zur unselbständigen Erwerbstätigkeit; eine Verknüpfung derselben mit ihrer Anstellung als Kinderbetreuerin in einem Privathaushalt ist unzulässig (E. 2.3.2). Vorliegend erweist sich die Verknüpfung der Aufenthaltsbewilligung mit ihrer Stelle als Hausangestellte bzw. Kinderbetreuerin als geradezu stossend (E. 2.4). Zusammenfassend hat die Beschwerdeführerin keinen Widerrufsgrund gesetzt und sich genügend integriert. Indem der Beschwerdegegner eine Verlängerung der Aufenthaltsbewilligung verweigerte, hat er sein Ermessen qualifiziert fehlerhaft ausgeübt (E. 3.3 f.). Gutheissung.</w:t>
      </w:r>
    </w:p>
    <w:p>
      <w:pPr>
        <w:pStyle w:val="Heading2"/>
      </w:pPr>
      <w:r>
        <w:t>Erwägungen</w:t>
      </w:r>
    </w:p>
    <w:p>
      <w:r>
        <w:rPr>
          <w:b/>
        </w:rPr>
        <w:t>E. 4</w:t>
      </w:r>
    </w:p>
    <w:p>
      <w:r>
        <w:t>Nach dem Gesagten ist die Beschwerde gutzuheissen und der Beschwerdegegner anzuweisen, die Aufenthaltsbewilligung der Beschwerdeführerin zu verlängern. Bei diesem Verfahrensausgang erübrigt es sich, auf die weiteren Rügen der Beschwerdeführerin (etwa betreffend "Verfahrensmängel und Vertrauensschutz") einzugehen.</w:t>
      </w:r>
    </w:p>
    <w:p>
      <w:r>
        <w:rPr>
          <w:b/>
        </w:rPr>
        <w:t>E. 5.1</w:t>
      </w:r>
    </w:p>
    <w:p>
      <w:r>
        <w:t>Ausgangsgemäss sind die Kosten des Rekurs- und des Beschwerdeverfahrens dem Beschwerdegegner aufzuerlegen (§ 13 Abs. 2 Satz 1 teilweise in Verbindung mit § 65a Abs. 2 VRG). Das Gesuch um unentgeltliche Prozessführung im Beschwerdeverfahren wird somit gegenstandslos. Des Weiteren hat der Beschwerdegegner antragsgemäss eine angemessene Parteientschädigung von Fr. 2'000.- für das Rekurs- und Fr. 1'500.- für das Beschwerdeverfahren (jeweils zuzüglich Mehrwertsteuer) zu bezahlen (§ 17 Abs. 2 lit. a VRG).</w:t>
      </w:r>
    </w:p>
    <w:p>
      <w:r>
        <w:rPr>
          <w:b/>
        </w:rPr>
        <w:t>E. 5.2</w:t>
      </w:r>
    </w:p>
    <w:p>
      <w:r>
        <w:t>Die Beschwerdeführerin ersucht um Gewährung unentgeltlicher Rechtsvertretung für das Beschwerdeverfahren. Das Gesuch ist angesichts ihrer ausgewiesenen Mittellosigkeit und unter Berücksichtigung des Verfahrensausgangs gutzuheissen (§ 16 Abs. 1 f. VRG). Demnach ist der Beschwerdeführerin in der Person ihres Vertreters, Rechtsanwalt B, ein unentgeltlicher Rechtsbeistand zu bestellen.</w:t>
      </w:r>
    </w:p>
    <w:p>
      <w:r>
        <w:rPr>
          <w:b/>
        </w:rPr>
        <w:t>E. 5.3</w:t>
      </w:r>
    </w:p>
    <w:p>
      <w:r>
        <w:t>Gemäss § 9 Abs. 1 der Gebührenverordnung des Verwaltungsgerichts vom 3. Juli 2018 (GebV VGr, LS 175.252) wird der unentgeltlichen Rechtsvertretung der notwendige Zeitaufwand nach den Stundenansätzen des Obergerichts für die amtliche Verteidigung entschädigt, wobei die Bedeutung der Streitsache und die Schwierigkeit des Prozesses berücksichtigt und Barauslagen separat entschädigt werden. Die Entschädigung beträgt nach § 3 der Verordnung (des Obergerichts) über die Anwaltsgebühren vom 8. September 2010 (LS 215.3) für Rechtsanwältinnen und Rechtsanwälte in der Regel Fr. 220.- pro Stunde. Der Rechtsvertreter der Beschwerdeführerin macht für das Beschwerdeverfahren insgesamt einen Aufwand von 15 Stunden und 6 Minuten sowie eine Spesenpauschale von 3 % zuzüglich 7,7 % Mehrwertsteuer geltend . Nachdem der Vertreter der Beschwerdeführerin diese bereits im vorinstanzlichen Verfahren vertreten hatte und ihm demnach bei der Ausarbeitung der Beschwerde die Sach- und Rechtslage bereits bekannt war , erscheint der geltend gemachte Stundenaufwand als zu hoch (vgl. BGr, 18. Mai 2021, 2C_816/2020, E. 4.5.3 – 21. Februar 2013, 2C_101/2013, E. 3; Kaspar Plüss, Kommentar VRG, § 16 N. 90). Praxisgemäss wird ein Aufwand von acht bis zwölf Stunden entschädigt. Hier ist ein solcher von zwölf Stunden als noch angemessen zu qualifizieren; die Kostennote des Rechtsvertreters ist entsprechend zu kürzen. Damit ist Rechtsanwalt B unter Anrechnung der Parteientschädigung von Fr. 1'500.- für das Beschwerdeverfahren mit Fr. 1'313.10 (inklusive Mehrwertsteuer) aus der Gerichtskasse zu entschädigen. Die Parteientschädigung ist dem unentgeltlichen Rechtsvertreter auszurichten.</w:t>
      </w:r>
    </w:p>
    <w:p>
      <w:r>
        <w:rPr>
          <w:b/>
        </w:rPr>
        <w:t>E. 5.4</w:t>
      </w:r>
    </w:p>
    <w:p>
      <w:r>
        <w:t>Abschliessend gilt es, die Beschwerdeführerin auf § 65a Abs. 2 in Verbindung mit § 16 Abs. 4 VRG aufmerksam zu machen, wonach eine Partei, der unentgeltliche Rechtspflege gewährt wurde, Nachzahlung leisten muss, sobald sie dazu in der Lage ist. Der Anspruch des Kantons verjährt zehn Jahre nach Abschluss des Verfahrens.</w:t>
      </w:r>
    </w:p>
    <w:p>
      <w:r>
        <w:rPr>
          <w:b/>
        </w:rPr>
        <w:t>E. 6</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 ergreifen. Ansonsten steht die subsidiäre Verfassungsbeschwerde gemäss Art. 113 ff. BGG offen (Art. 83 lit. c Ziff. 2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