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VB.2021.00781 vom 12. Januar 2022</w:t>
      </w:r>
    </w:p>
    <w:p>
      <w:r>
        <w:t>ZH Verwaltungsgericht, 2022-01-12, DE</w:t>
      </w:r>
    </w:p>
    <w:p>
      <w:r>
        <w:rPr>
          <w:b/>
        </w:rPr>
        <w:t xml:space="preserve">Quelle: </w:t>
      </w:r>
      <w:r>
        <w:t>https://mcp.opencaselaw.ch/entscheid/zh_verwaltungsgericht__VB.2021.00781</w:t>
      </w:r>
    </w:p>
    <w:p>
      <w:r>
        <w:t>FR: ZH_VERWALTUNGSGERICHT VB.2021.00781 du 12 janvier 2022</w:t>
      </w:r>
    </w:p>
    <w:p>
      <w:r>
        <w:t>IT: ZH_VERWALTUNGSGERICHT VB.2021.00781 del 12 gennaio 2022</w:t>
      </w:r>
    </w:p>
    <w:p>
      <w:pPr>
        <w:pStyle w:val="Heading2"/>
      </w:pPr>
      <w:r>
        <w:t>Regeste</w:t>
      </w:r>
    </w:p>
    <w:p>
      <w:r>
        <w:t>Widerruf der Aufenthaltsbewilligung EU/EFTA | Bewilligungswiderruf nach kurzer Ehe / Rechtsmissbrauchsvorbehalt. Kognition des Verwaltungsgerichts (E. 1). Der Beschwerdeführer verfügt aufgrund seiner Heirat mit einer EU-Bürgerin grundsätzlich über ein freizügigkeitsrechtliches Aufenthaltsrecht, welches nicht vom Zusammenleben der Ehegatten abhängt (E. 2). Sein Aufenthaltsrecht steht jedoch auch im freizügigkeitsrechtlichen Bereich unter dem Vorbehalt des Rechtsmissbrauchs bei einer nur noch zur Umgehung der ausländerrechtlichen Zulassungsvorschriften aufrechterhaltenen Ehe. Ein solcher ist zu vermuten, wenn die Ehe definitiv gescheitert und inhaltsleer geworden bzw. der Ehewille mindestens eines Ehegatten definitiv erloschen ist. Diesfalls entfällt auch ein grundrechtlicher Aufenthaltsanspruch aus dem Recht auf Familienleben (E. 3.1). Auslegung der freizügigkeitsrechtlichen Bestimmungen nach der Auslegungspraxis zum Unterzeichnungszeitpunkt des FZA ("Acquis communautaire") und Berücksichtigung nachfolgender Rechtsentwicklungen im Interesse einer kongruenten Rechtslage. Relativierung der Diatta-Rechtsprechung des EuGH (E. 3.2). Verneinung eines nachehelichen Aufenthaltsrechts und eines nachehelichen oder allgemeinen Härtefalls aufgrund der kurzen Dauer des ehelichen Zusammenlebens, der nicht hinreichend substanziierten sowie unglaubhaften Gewaltvorwürfe und dem fehlenden Konnex zum ehebedingten Aufenthalt (E. 4 und 5). Verneinung von durch das Recht auf Achtung des Privatlebens geschützten Beziehungen aufgrund der relativ kurzen Anwesenheitsdauer (E. 6). Ausgangsgemässe Regelung der Kosten- und Entschädigungsfolgen (E. 7). Rechtsmittelbelehrung (E. 8). Abweisung der Beschwerde.</w:t>
      </w:r>
    </w:p>
    <w:p>
      <w:pPr>
        <w:pStyle w:val="Heading2"/>
      </w:pPr>
      <w:r>
        <w:t>Erwägungen</w:t>
      </w:r>
    </w:p>
    <w:p>
      <w:r>
        <w:rPr>
          <w:b/>
        </w:rPr>
        <w:t>E. 2</w:t>
      </w:r>
    </w:p>
    <w:p>
      <w:r>
        <w:t>Abteilung VB.2021.00781 Urteil der 2. Kammer vom 12. Januar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Aufenthaltsbewilligung EU/EFTA, hat sich ergeben: I. Der 1978 geborene dominikanische Staatsangehörige A heiratete am 13. Oktober 2016 in seinem Heimatland die 1972 geborene und ebenfalls aus seiner Heimat stammende Spanierin C, welche im Kanton Zürich niedergelassen ist. In der Folge reiste er am 20. August 2017 in die Schweiz ein, wo ihm eine bis zum 19. August 2022 gültige Aufenthaltsbewilligung EU/EFTA zum Verbleib bei seiner Ehefrau erteilt wurde. Ein Nachzugsgesuch für seine in der Dominikanischen Republik verbliebene Tochter D (geboren 2008) wurde am 22. Juni 2021 als gegenstandslos geworden abgeschrieben. Auf Rückfrage teilte A dem Migrationsamt mit Schreiben vom 11. Februar 2021 mit, dass der wechselseitige Ehewille seit dem "1. Januar 2020" erloschen sei und er seit dem 30. November 2020 getrennt von seiner Ehefrau wohne. Mit eheschutzrichterlichem Entscheid des Bezirksgerichts Zürich vom 18. Januar 2021 wurde von der Trennung der Ehegatten Vormerk genommen. Aufgrund der Trennung der Ehegatten und nach Gewährung des rechtlichen Gehörs widerrief das Migrationsamt am 19. August 2021 die Aufenthaltsbewilligung EU/EFTA von A, unter Ansetzung einer Ausreisefrist bis zum 18. November 2021. II. Den hiergegen erhobenen Rekurs wies die Sicherheitsdirektion am 14. Oktober 2021 ab, unter Ansetzung einer neuen Ausreisefrist bis zum 14. Januar 2022. III. Mit Beschwerde vom 16. November 2021 liess A dem Verwaltungsgericht beantragen, es sei der vorinstanzliche Entscheid aufzuheben und es sei von einem Widerruf seiner Aufenthaltsbewilligung abzusehen. Weiter liess er um Zusprechung einer Parteientschädigung ersuchen.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2.2</w:t>
      </w:r>
    </w:p>
    <w:p>
      <w:r>
        <w:t>Der Beschwerdeführer ist trotz Trennung und Eheschutzmassnahmen nach wie vor mit einer in der Schweiz aufenthaltsberechtigten spanischen Staatsangehörigen verheiratet, womit er sich während der formellen Fortdauer seiner Ehe grundsätzlich auf einen abgeleiteten Aufenthaltsanspruch nach den genannten Bestimmungen des FZA berufen kann.</w:t>
      </w:r>
    </w:p>
    <w:p>
      <w:r>
        <w:rPr>
          <w:b/>
        </w:rPr>
        <w:t>E. 3.1</w:t>
      </w:r>
    </w:p>
    <w:p>
      <w:r>
        <w:t>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 Weil nur das intakte Ehe- und Familienleben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 Da bei rechtsmissbräuchlicher Berufung auf die inhaltsleer gewordene 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3.2</w:t>
      </w:r>
    </w:p>
    <w:p>
      <w:r>
        <w:t>Der Beschwerdeführer bestreitet im Beschwerdeverfahren nicht, sich definitiv von seiner spanischen Ehefrau getrennt zu haben, weshalb die Berufung auf die nur noch formell fortbestehende Ehe nach dargelegter bundesgerichtlicher Praxis rechtsmissbräuchlich erscheint. Soweit in Teilen der Lehre hierzu abweichende Ansichten vertreten werden, widersprechen diese der ständigen und einlässlich begründeten bundesgerichtlichen Praxis. Das Bundesgericht hat sich dabei auch ausführlich mit dem bereits erwähnten Urteil Diatta (EuGH, 13. Februar 1985, Rs. 267/83, Diatta, Slg. 1985, 567 ff., N. 18 ff.) auseinandergesetzt und festgehalten, dass dieses Urteil der Annahme eines Rechtsmissbrauchs bei einer nur noch formell aufrechterhaltenen Ehe nicht entgegenstehe. So wies es insbesondere darauf hin, dass sich der EuGH im Urteil Diatta mit der Frage des Rechtsmissbrauchs noch nicht vertieft auseinanderzusetzen hatte und sich eine diesbezügliche Praxis erst in den Folgejahren etablierte, während die Berufung auf eine nur formell fortbestehende Ehe die freizügigkeitsrechtlich verfolgten Ziele konterkarieren würde (BGE 130 II 113 = Pr 93 [2004] Nr. 171, E. 9, insbesondere E. 9.4). Zwischenzeitlich hat das Bundesgericht seine Rechtsmissbrauchsrechtsprechung und seine Auslegung des Urteils Diatta diverse Male bestätigt und klar bekräftigt, an seiner diesbezüglichen Praxis festhalten zu wollen (vgl. z. B. BGE 139 II 393 E. 2.1; BGr, 29. März 2019, 2C_305/2019, E. 2; BGr, 7. Oktober 2020, 2C_525/2020, E. 1.3; vgl. zum Ganzen VGr, 16. Juni 2021, VB.2021.00179, E. 3.1). Selbst wenn bei der Auslegung der freizügigkeitsrechtlichen Bestimmungen grundsätzlich auf die Rechtslage und die Auslegungspraxis des EuGHs zum Unterzeichnungszeitpunkt des FZA abzustellen ist ("Acquis communautaire", vgl. Art. 16 Abs. 2 FZA), können im Interesse einer kongruenten Rechtslage auch nachfolgende Rechtsentwicklungen im europäischen Rechtsraum berücksichtigt werden (vgl. z.B. BGE 136 II 329 E. 2.3), was das Bundesgericht im dargelegten Sinn gemacht hat. Nicht mehr vorbehaltslos zu berücksichtigen ist hingegen insbesondere die in der Beschwerdeschrift aufgeführte jüngere EuGH-Praxis (z.B. EuGH, 10. Juli 2014, Ogieriakhi, C-244/13) welche sich nicht nur auf die altrechtliche Diatta-Rechtsprechung, sondern auch auf die im Verhältnis zur Schweiz nicht anwendbare Unionsbürgerrichtlinie RL 2004/38/EG bezieht (vgl. VGr, 31. März 2021, VB.2021.00006, E. 2.1). Ebenso wenig ist die Auslegungspraxis in den verschiedenen EU-Staaten für die Schweiz massgeblich, soweit sie nicht den bereits erwähnten "Acquis communautaire" betrifft. Damit besteht keine Veranlassung, vorliegend von der etablierten und freizügigkeitskonformen Rechtsmissbrauchspraxis des Bundesgerichts abzuweichen. Diese verstösst nicht gegen völker- oder freizügigkeitsrechtliche Prinzipien. Auf die Kritik des Beschwerdeführers an der Auslegung des Diatta-Urteils durch das Bundesgericht ist deshalb nicht weiter einzugehen. Mangels intaktem Eheleben entfallen überdies auch allfällige Ansprüche aus dem konventions- und verfassungsmässig geschützten Recht auf Familienleben. Zu prüfen bleiben damit allfällige nacheheliche Aufenthaltsansprüche des Beschwerdeführers.</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 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Eine ausländerrechtlich relevante Ehegemeinschaft besteht so 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 Die genannten Grundsätze gelten auch im freizügigkeitsrechtlichen Bereich: Gemäss dem Diskriminierungsverbot von Art. 2 FZA sind Angehörige von EU-Bürgern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und die für die Berechnung der Dreijahresfrist relevante Ehegemeinschaft endet spätestens mit der Aufhebung des ehelichen Zusammenlebens bzw. dem Erlöschen des wechselseitigen Ehewillens (vgl. BGr, 28. September 2020, 2C_495/2020, E. 5; VGr, 24. Oktober 2018, VB.2018.00484, E. 3.2 und 3.3; VGr, 16. Juni 2021, VB.2021.00179, E. 4.1).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4.2</w:t>
      </w:r>
    </w:p>
    <w:p>
      <w:r>
        <w:t>Der Beschwerdeführer reiste am 20. August 2017 in die Schweiz ein. Gemäss seiner Stellungnahme vom 11. Februar 2020 war der wechselseitige Ehewille "seit etwa dem 01.01.2020" erloschen und soll die Beziehung im "Januar und Februar 2020 aufgegeben" worden sein, wenngleich die Eheleute noch bis Ende November 2020 zusammenwohnten. Die Angaben seiner Ehefrau in deren Stellungnahme vom 16. Februar 2021 weichen hiervon nur um wenige Monate ab, wobei sie das Beziehungsende auf "Mai/Juni 2020" und die Aufgabe der Wohngemeinschaft auf den 5. Oktober 2020 terminierte sowie eine Wiederaufnahme der Beziehung nicht kategorisch ausschloss. Aufgrund des bereits in der ersten Jahreshälfte 2020 entfallenen Ehewillens hat das ausländerrechtlich relevante eheliche Zusammenleben in der Schweiz somit selbst nach der eigenen Darstellung des Beschwerdeführers keine drei Jahre gedauert. Eine Wiederaufnahme des Ehelebens ist zumindest seitens des Beschwerdeführers nicht beabsichtigt und aufgrund der langen Trennungsdauer auch nicht zu erwarten, vielmehr ist die Trennung inzwischen auch räumlich vollzogen worden. Damit sind bereits die zeitlichen Voraussetzungen für einen nachehelichen Aufenthaltsanspruch im Sinn von Art. 50 Abs. 1 lit. a AIG nicht erfüllt, ohne dass die Integration des Beschwerdeführers näher erörtert werden muss.</w:t>
      </w:r>
    </w:p>
    <w:p>
      <w:r>
        <w:rPr>
          <w:b/>
        </w:rPr>
        <w:t>E. 5.1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Eheliche bzw. häusliche Gewalt ist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 BGE 136 II 1 E. 5). Trotz Untersuchungsgrundsatz trifft die ausländische Person bei der Feststellung eines nachehelichen Härtefalls generell eine weitreichende Mitwirkungspflicht (vgl. Art. 90 AIG). Bei ehelicher Gewalt bzw. häuslicher Oppression müssen die Vorfälle zumindest in geeigneter Weise glaubhaft gemacht werden. Allgemein gehaltene Behauptungen oder Hinweise auf punktuelle Spannungen genügen nicht; wird häusliche Gewalt in Form psychischer Oppression behauptet, müssen die Systematik der Misshandlung bzw. deren zeitliches Andauern und die daraus entstehende subjektive Belastung objektiv nachvollziehbar konkretisiert und beweismässig unterlegt werden. Nach Art. 77 Abs. 5 f. VZAE können weitere Nachweise – insbesondere Arztzeugnisse, Polizeirapporte, Strafanzeigen, verfügte Gewaltschutzmassnahmen und entsprechende strafrechtliche Verurteilungen – verlangt werden (vgl. BGE 138 II 229 E. 3.2.3; BGr, 12. März 2021, 2C_802/2020, E. 2.5; BGr, 12. März 2021, 2C_45/2021, E. 3.4; BGr, 20. November 2018, 2C_241/2018, E. 4.2).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Der Beschwerdeführer machte in seiner Stellungnahme vom 11. Februar 2021 erstmals geltend, von seiner Ehefrau misshandelt und bedroht worden zu sein. In einer weiteren Stellungnahme vom 28. Juni 2021 erneuerte er seine Vorwürfe, wobei es sogar zu einer "Körperverletzung" gekommen sei. Zuletzt machte er mit Schreiben vom 16. August 2021 und im Beschwerdeverfahren geltend, von seiner Ehefrau mit Todesdrohungen zum Auszug aus der ehelichen Wohnung gedrängt bzw. genötigt worden zu sein.</w:t>
      </w:r>
    </w:p>
    <w:p>
      <w:r>
        <w:rPr>
          <w:b/>
        </w:rPr>
        <w:t>E. 5.3</w:t>
      </w:r>
    </w:p>
    <w:p>
      <w:r>
        <w:t>Wie bereits von der Vorinstanz ausführlich dargelegt wurde, blieben die Gewaltvorwürfe des Beschwerdeführers vage und es wurden hierzu trotz migrationsamtlicher Aufforderung vom 30. Juni 2021 keinerlei Belege vorgelegt. Ebenso wenig ist dokumentiert, dass der Beschwerdeführer sich in Zusammenhang mit den behaupteten Gewaltvorfällen bzw. Drohungen jemals an eine Opferhilfestelle, Ärzte oder die Polizei gewendet hatte. Im Eheschutzverfahren waren die angeblichen Gewaltvorfälle offenbar kein Thema. Auch in zeitlicher Hinsicht konnte der Beschwerdeführer keine detaillierten Angaben zu den behaupteten Gewaltvorfällen machen. Die angeblich erlittene Körperverletzung ist in keinster Weise näher beschrieben. Sodann lebte der Beschwerdeführer eigenen Angaben zufolge auch nach dem Erlöschen seines Ehewillens noch monatelang mit seiner Ehefrau zusammen. Damit widerspricht auch sein Verhalten der angeblichen Bedrohungs- und Gewaltsituation (vgl. dazu auch BGr, 23. März 2021, 2C_1004/2020, E. 4.2.2). Im Sinn der vorinstanzlichen Erwägungen erscheint die Darstellung des Beschwerdeführers somit wenig glaubhaft. Ebenso ist zweifelhaft, ob die angeblich ausgesprochenen Drohungen überhaupt noch in einem relevanten Konnex zu seinem ehebedingten Aufenthalt stehen, da sie allenfalls erst nach der definitiven Beendigung der Beziehung ausgesprochen wurden. Jedenfalls ist davon auszugehen, dass die ehelichen Konflikte nicht derart schwerwiegend waren, dass vom Beschwerdeführer im Sinn der dargelegten Rechtslage vernünftigerweise nicht mehr erwartet werden konnte, einzig aus bewilligungsrechtlichen Gründen die Ehe aufrechtzuerhalten und in einer seiner Menschenwürde und Persönlichkeit verneinenden Beziehung zu verharren.</w:t>
      </w:r>
    </w:p>
    <w:p>
      <w:r>
        <w:rPr>
          <w:b/>
        </w:rPr>
        <w:t>E. 5.4</w:t>
      </w:r>
    </w:p>
    <w:p>
      <w:r>
        <w:t>Der noch relativ junge Beschwerdeführer ist sodann in der Dominikanischen Republik aufgewachsen und sozialisiert worden. Er lebt erst wenige Jahre in der Schweiz und musste nach der Trennung von seiner Ehefrau mit seiner Wegweisung rechnen. Er ist damit noch nicht derart in der Schweiz verwurzelt, als dass ihm die Rückkehr in sein Heimatland nicht mehr zuzumuten wäre. Weiter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nicht über übliche Integrationserwartungen hinausgehende Integration des Beschwerdeführers und dessen klagloses Verhalten in der Schweiz vermögen damit ebenfalls keinen Härtefall zu begründen. Damit hat die Vorinstanz einen nachehelichen oder schwerwiegenden persönlichen Härtefall im Sinn von Art. 50 Abs. 1 lit. b AIG in Verbindung mit Art. 50 Abs. 2 AIG bzw. Art. 30 Abs. 1 lit. b AIG zu Recht verneint.</w:t>
      </w:r>
    </w:p>
    <w:p>
      <w:r>
        <w:rPr>
          <w:b/>
        </w:rPr>
        <w:t>E. 6.1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 oder der Bewilligungswiderruf unverhältnismässig sein könnte, wobei hierfür auf die zutreffenden und nicht substanziiert bestrittenen vorinstanzlichen Erwägungen zu verweisen ist (§ 70 in Verbindung mit § 28 Abs. 1 VRG).</w:t>
      </w:r>
    </w:p>
    <w:p>
      <w:r>
        <w:rPr>
          <w:b/>
        </w:rPr>
        <w:t>E. 6.2</w:t>
      </w:r>
    </w:p>
    <w:p>
      <w:r>
        <w:t>Vollzugshindernisse im Sinn von Art. 83 AIG sind ebenfalls weder ersichtlich noch werden solche substanziiert geltend gemacht. Die Beschwerde ist damit abzuweisen.</w:t>
      </w:r>
    </w:p>
    <w:p>
      <w:r>
        <w:rPr>
          <w:b/>
        </w:rPr>
        <w:t>E. 7</w:t>
      </w:r>
    </w:p>
    <w:p>
      <w:r>
        <w:t>Ausgangsgemäss sind die Gerichtskosten dem Beschwerdeführer aufzuerlegen und es ist ihm keine Parteientschädigung zuzusprechen (§ 65a Abs. 2 in Verbindung mit § 13 Abs. 2 Satz 1 und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