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VB.2021.00767 vom 17. Februar 2022</w:t>
      </w:r>
    </w:p>
    <w:p>
      <w:r>
        <w:t>ZH Verwaltungsgericht, 2022-02-17, DE</w:t>
      </w:r>
    </w:p>
    <w:p>
      <w:r>
        <w:rPr>
          <w:b/>
        </w:rPr>
        <w:t xml:space="preserve">Quelle: </w:t>
      </w:r>
      <w:r>
        <w:t>https://mcp.opencaselaw.ch/entscheid/zh_verwaltungsgericht__VB.2021.00767</w:t>
      </w:r>
    </w:p>
    <w:p>
      <w:r>
        <w:t>FR: ZH_VERWALTUNGSGERICHT VB.2021.00767 du 17 février 2022</w:t>
      </w:r>
    </w:p>
    <w:p>
      <w:r>
        <w:t>IT: ZH_VERWALTUNGSGERICHT VB.2021.00767 del 17 febbraio 2022</w:t>
      </w:r>
    </w:p>
    <w:p>
      <w:pPr>
        <w:pStyle w:val="Heading2"/>
      </w:pPr>
      <w:r>
        <w:t>Regeste</w:t>
      </w:r>
    </w:p>
    <w:p>
      <w:r>
        <w:t>Verlängerung der Aufenthaltsbewilligung | Der 1985 geborene, aus Ecuador stammende Beschwerdeführer erhielt 2016 eine Aufenthaltsbewilligung zum Verbleib bei seiner Schweizer Ehefrau. Während seines Aufenthalts in der Schweiz wurde er wegen einfacher Körperverletzung, wegen mehrfachen Exhibitionismus und mehrmals wegen Verkehrsdelikten verurteilt. 2021 wurde seine Ehe geschieden. Der Beschwerdeführer zeigte damit einen Mangel an Respekt für die hiesige Rechtsordnung, der auf eine mangelhafte Integration schliessen lässt (E. 2.3.5).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und ist diesem keine Parteientschädigung zuzusprechen (§ 65a Abs. 2 in Verbindung mit § 13 Abs. 2 Satz 1 VRG,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