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VB.2021.00728 vom 15. Dezember 2021</w:t>
      </w:r>
    </w:p>
    <w:p>
      <w:r>
        <w:t>ZH Verwaltungsgericht, 2021-12-15, DE</w:t>
      </w:r>
    </w:p>
    <w:p>
      <w:r>
        <w:rPr>
          <w:b/>
        </w:rPr>
        <w:t xml:space="preserve">Quelle: </w:t>
      </w:r>
      <w:r>
        <w:t>https://mcp.opencaselaw.ch/entscheid/zh_verwaltungsgericht__VB.2021.00728</w:t>
      </w:r>
    </w:p>
    <w:p>
      <w:r>
        <w:t>FR: ZH_VERWALTUNGSGERICHT VB.2021.00728 du 15 décembre 2021</w:t>
      </w:r>
    </w:p>
    <w:p>
      <w:r>
        <w:t>IT: ZH_VERWALTUNGSGERICHT VB.2021.00728 del 15 dicembre 2021</w:t>
      </w:r>
    </w:p>
    <w:p>
      <w:pPr>
        <w:pStyle w:val="Heading2"/>
      </w:pPr>
      <w:r>
        <w:t>Regeste</w:t>
      </w:r>
    </w:p>
    <w:p>
      <w:r>
        <w:t>Kurzaufenthaltsbewilligung zur Vorbereitung der Heirat | [Erteilung einer Kurzaufenthaltsbewilligung: Beim Beschwerdeführer handelt es sich um einen abgewiesenen Asylbewerber, der seit über zehn Jahren illegal in der Schweiz lebt. Er möchte seine Schweizer Verlobte heiraten.] Die Eheschliessung zwischen dem Beschwerdeführer und seiner Verlobten ist absehbar (E. 2.4), weshalb summarisch zu prüfen bleibt, ob der Beschwerdeführer nach der Heirat die Zulassungsvoraussetzungen für die Erteilung einer Aufenthaltsbewilligung offensichtlich erfüllt (E. 2.5). Entgegen der Meinung der Vorinstanz genügt ein Fürsorgerisiko nicht, um die Erteilung einer Aufenthaltsbewilligung zu verweigern. Es wird vorausgesetzt, dass der Beschwerdeführer tatsächlich einen Widerrufsgrund erfüllt, was vorliegend prima facie nicht zutrifft. Gutheissung der Beschwerde.</w:t>
      </w:r>
    </w:p>
    <w:p>
      <w:pPr>
        <w:pStyle w:val="Heading2"/>
      </w:pPr>
      <w:r>
        <w:t>Erwägungen</w:t>
      </w:r>
    </w:p>
    <w:p>
      <w:r>
        <w:rPr>
          <w:b/>
        </w:rPr>
        <w:t>E. 2</w:t>
      </w:r>
    </w:p>
    <w:p>
      <w:r>
        <w:t>Abteilung VB.2021.00728 Urteil der 2. Kammer vom 15. Dezember 2021 Mitwirkend: Abteilungspräsident Andreas Frei (Vorsitz) , Verwaltungsrichterin Silvia Hunziker, Ersatzrichter Christian Mäder, Gerichtsschreiberin Linda Rindlisbacher. In Sachen A, vertreten durch RA D, Beschwerdeführer, gegen Migrationsamt des Kantons Zürich, Beschwerdegegner, betreffend Kurzaufenthaltsbewilligung zur Vorbereitung der Heirat, hat sich ergeben: I. A. A, geboren am 1979, Staatsangehöriger von Algerien, reiste am 1. September 2011 illegal in die Schweiz ein und ersuchte am 5. September 2011 unter falschem Namen um Asyl. Mit Entscheid vom 5. Dezember 2011 trat das Bundesamt für Migration (BFM, heute Staatssekretariat für Migration [SEM]), auf das Asylgesuch nicht ein und wies ihn aus der Schweiz weg. A kam dieser Aufforderung nicht nach und hält sich seither illegal in der Schweiz auf. Seit dem 11. August 2016 galt er als verschwunden. Am 20. April 2019 wurde A aufgegriffen und in Haft genommen. Am 20. Juli 2019 entwich er aus dem Vollzugszentrum C und tauchte erneut unter. A ist in der Schweiz wiederholt strafrechtlich in Erscheinung getreten, wobei es sich hauptsächlich um Verstösse gegen das Ausländer- und Integrationsgesetz vom 16. Dezember 2005 (AIG) handelt. Dabei erwirkte er Geldstrafen von insgesamt 190 Tagessätzen sowie eine Freiheitsstrafe von 230 Tagen. Am 7. Mai 2021 reichte A ein Gesuch um Erteilung einer Kurzaufenthaltsbewilligung zur Vorbereitung der Ehe mit der Schweizerin B, geboren 1984, ein. B bezieht eine volle IV-Rente und erhält Ergänzungsleistungen. Das Migrationsamt wies dieses Gesuch mit Verfügung vom 29. Juli 2021 ab. II. Den gegen die Verfügung des Migrationsamts vom 29. Juli 2021 erhobenen Rekurs wies die Rekursabteilung der Sicherheitsdirektion mit Entscheid vom 12. Oktober 2021 ab, soweit er nicht gegenstandslos geworden war. Sie hielt fest, dass A die Schweiz unverzüglich zu verlassen habe. Das Gesuch um unentgeltliche Rechtspflege wies sie wegen offensichtlicher Aussichtslosigkeit ab. III. Mit Beschwerde vom 22. Oktober 2021 beantragte A dem Verwaltungsgericht die Aufhebung des Entscheids der Rekursabteilung der Sicherheitsdirektion vom 12. Oktober 2021 und der Verfügung des Migrationsamts vom 29. Juli 2021. Das Migrationsamt sei anzuweisen, ihm eine Kurzaufenthaltsbewilligung zwecks Vorbereitung der Heirat zu erteilen bzw. seinen Aufenthalt zu diesem Zwecke zu dulden. Eventualiter sei die Sache zur weiteren Abklärung an das Migrationsamt zurückzuweisen. In prozessrechtlicher Hinsicht beantragte A, es sei das Migrationsamt im Sinn einer vorsorglichen Massnahme anzuweisen, bis zum Entscheid über diese Beschwerde von jeglichen Vollzugsmassnahmen abzusehen. Weiter sei ihm die unentgeltliche Rechtspflege zu gewähren und eine unentgeltliche Rechtsbeiständin sowohl für das vorliegende B eschwerdeverfahren als auch für das vorinstanzliche Rekursverfahren zu bestellen; alles unter Kosten- und Entschädigungsfolgen. Mit Präsidialverfügung vom 26. Oktober 2021 hielt der Abteilungspräsident fest, dass während des Verfahrens alle Vollziehungsvorkehrungen zu unterbleiben hätten. Die Rekursabteilung der Sicherheitsdirektion liess sich nicht vernehmen; das Migrationsamt reichte keine Beschwerdeantwort ein.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Der Antrag, im Sinn einer vorsorglichen Massnahme von jeglichen Vollzugsmassnahmen Abstand zu nehmen, erübrigt sich mit dem heutigen Urteil.</w:t>
      </w:r>
    </w:p>
    <w:p>
      <w:r>
        <w:rPr>
          <w:b/>
        </w:rPr>
        <w:t>E. 2.1</w:t>
      </w:r>
    </w:p>
    <w:p>
      <w:r>
        <w:t>Die Erteilung von Kurz- und Aufenthaltsbewilligungen richtet sich nach dem AIG, soweit keine anderen Bestimmungen des Bundesrechts oder von der Schweiz abgeschlossene völkerrechtliche Verträge zur Anwendung kommen (Art. 2 Abs. 1 AIG).</w:t>
      </w:r>
    </w:p>
    <w:p>
      <w:r>
        <w:rPr>
          <w:b/>
        </w:rPr>
        <w:t>E. 2.2</w:t>
      </w:r>
    </w:p>
    <w:p>
      <w:r>
        <w:t>Beim Beschwerdeführer handelt es sich um einen rechtskräftig aus der Schweiz weggewiesenen Asylbewerber, der seiner Ausreisepflicht bislang nicht nachgekommen ist und für den keine Ersatzmassnahme angeordnet wurde. Er hält sich seit seiner Einreise am 1. September 2011 illegal in der Schweiz auf und möchte eine Schweizerin heiraten, sobald er in der Schweiz über einen gültigen Aufenthaltstitel verfügt.</w:t>
      </w:r>
    </w:p>
    <w:p>
      <w:r>
        <w:rPr>
          <w:b/>
        </w:rPr>
        <w:t>E. 2.3</w:t>
      </w:r>
    </w:p>
    <w:p>
      <w:r>
        <w:t>Gestützt auf das AIG steht ihm vor der Heirat mit seiner Schweizer Verlobten kein Bewilligungsanspruch im Sinn von Art. 42 Abs. 1 AIG zu. Im Hinblick auf die geplante Eheschliessung vermag er allerdings unter bestimmten Voraussetzungen aus dem in Art. 12 der Europäischen Menschenrechtskonvention (EMRK) sowie Art. 14 der Bundesverfassung vom 18. April 1999 (BV) garantierten Recht auf Ehe einen Anwesenheitsanspruch zum Zweck der Eheschliessung in der Schweiz abzuleiten. 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137 I 351 E. 3.7; BGr, 2. Januar 2013, 2C_195/2012, E. 3.5.2). Eine Kurzaufenthaltsbewilligung zum Zweck der Eheschliessung soll indes nur erteilt werden, wenn mit dem Eheschluss in absehbarer Zeit zu rechnen ist (vgl. BGr, 17. Januar 2020, 2C_827/2019, E. 3). 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2.4</w:t>
      </w:r>
    </w:p>
    <w:p>
      <w:r>
        <w:t>Es ist unbestritten, dass die Eheschliessung zwischen dem Beschwerdeführer und seiner Verlobten absehbar ist. Das Zivilstandesamt der Stadt Zürich hat mit Schreiben vom 28. Juni 2021 bestätigt, dass das Ehevorbereitungsverfahren abgeschlossen ist und einzig noch der Nachweis über den rechtmässigen Aufenthalt des Beschwerdeführers und die Unterschriften ausstehen würden. Es liegen auch keine Indizien für eine Scheinehe vor. Die Vorinstanz geht aufgrund der Akten von einer echten Liebesbeziehung aus.</w:t>
      </w:r>
    </w:p>
    <w:p>
      <w:r>
        <w:rPr>
          <w:b/>
        </w:rPr>
        <w:t>E. 2.5</w:t>
      </w:r>
    </w:p>
    <w:p>
      <w:r>
        <w:t>Nach dem Gesagten bleibt summarisch zu prüfen, ob der Beschwerdeführer nach der Heirat die Zulassungsvoraussetzungen in der Schweiz gestützt auf Art. 42 Abs. 1 AIG offensichtlich erfüllt.</w:t>
      </w:r>
    </w:p>
    <w:p>
      <w:r>
        <w:rPr>
          <w:b/>
        </w:rPr>
        <w:t>E. 3.1</w:t>
      </w:r>
    </w:p>
    <w:p>
      <w:r>
        <w:t>Ausländische Ehegatten von Schweizerinnen und Schweizern haben Anspruch auf Erteilung einer Aufenthaltsbewilligung, wenn sie mit diesen zusammenwohnen (Art. 42 Abs. 1 AIG). Der Anspruch erlischt, wenn Widerrufsgründe nach Art. 63 AIG vorliegen (Art. 51 Abs. 1 AIG). Nach Art. 63 Abs. 1 lit. c AIG liegt ein Widerrufsgrund vor, wenn der Ausländer oder eine Person, für die er zu sorgen hat, dauerhaft und in erheblichem Mass auf Sozialhilfe angewiesen ist. Beim Widerruf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geltender Praxis ist der Widerrufsgrund wegen Fürsorgeabhängigkeit nach Art. 63 Abs. 1 lit. c AIG erfüllt, wenn konkret die Gefahr einer fortgesetzten und erheblichen Fürsorgeabhängigkeit besteht; blosse finanzielle Bedenken genügen nicht (vgl. BGr, 5. Februar 2020, 2C_813/2019, E. 2.2; BGr, 27. September 2019, 2C_458/2019, E. 3.2;).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(BGE 122 II 1 E. 3c; BGr, 5. Februar 2020, 2C_813/2019, E. 2.2; BGr, 27. September 2019, 2C_458/2019, E. 3.2).</w:t>
      </w:r>
    </w:p>
    <w:p>
      <w:r>
        <w:rPr>
          <w:b/>
        </w:rPr>
        <w:t>E. 3.2</w:t>
      </w:r>
    </w:p>
    <w:p>
      <w:r>
        <w:t>Die Vorinstanz ist im angefochtenen Entscheid zum Schluss gekommen, die Voraussetzungen für die Erteilung einer Kurzaufenthaltsbewilligung zur Vorbereitung der Ehe seien nicht erfüllt. Zur Begründung führte sie aus, es bestehe ein erhebliches Fürsorgerisiko. Die Verlobte des Beschwerdeführers sei nicht imstande, den Lebensunterhalt für sich und den Beschwerdeführer zu bestreiten, sei sie doch selber auf Ergänzungsleistungen angewiesen. Der Beschwerdeführer mache nicht geltend, eine Arbeitsstelle in Aussicht zu haben, obschon das Migrationsamt in seiner Verfügung diesen Umstand ausdrücklich aufgeführt habe. Weder die fehlenden Arbeitssuchbemühungen noch der Umstand, dass er keine Stelle in Aussicht habe, lasse sich ausreichend mit seinem ungeregelten ausländerrechtlichen Status erklären. Diesbezüglich unterscheide sich seine Situation nicht von derjenigen zahlreicher anderer Ausländerinnen und Ausländer, die unter vergleichbaren Umständen Arbeitszusicherungen vorweisen könnten. Dass er trotz seiner rund zehnjährigen Anwesenheit in der Schweiz und seiner bisherigen Arbeitserfahrungen, auf die er der sich ausdrücklich berufe, keine Stellenzusicherung vorweisen könne, erlaube keine günstige Prognose im Hinblick auf die zukünftige Stellensuche. Dass er eine Ausbildung absolviert habe, werde vom anwaltlich vertretenen Beschwerdeführer ebenfalls nicht geltend gemacht und solches sei auch nicht ersichtlich. Es sei daher mit erheblichen Integrationsschwierigkeiten zu rechnen. Insgesamt bestehe ein grosses Risiko, dass er nach Erhalt der Aufenthaltsbewilligung auf die Unterstützung durch die Sozialhilfe angewiesen sein werde. Damit sei eine Belastung der öffentlichen Finanzen zu befürchten, und die Erteilung einer Aufenthaltsbewilligung wäre nach dem Eheschluss zu verweigern.</w:t>
      </w:r>
    </w:p>
    <w:p>
      <w:r>
        <w:rPr>
          <w:b/>
        </w:rPr>
        <w:t>E. 3.3</w:t>
      </w:r>
    </w:p>
    <w:p>
      <w:r>
        <w:t>Die Vorinstanz verkennt, dass ein Fürsorgerisiko nicht genügt, um die Erteilung einer Aufenthaltsbewilligung gestützt auf Art. 42 Abs. 1 AIG zu verweigern. Es wird vorausgesetzt, dass der Beschwerdeführer tatsächlich einen Widerrufsgrund nach Art. 63 AIG erfüllt. Hierzu müsste der Beschwerdeführer oder eine Person, für die er zu sorgen hat, dauerhaft und in erheblichem Mass auf Sozialhilfe angewiesen sein. Von dem ist bei der vorliegend vorzunehmenden Prima-facie-Prüfung jedoch nicht auszugehen. Der Beschwerdeführer hat während seines rund zehnjährigen Aufenthalts nie Sozialhilfeleistungen bezogen. Er erfüllt damit das Kriterium des dauerhaften und erheblichen Bezugs von Fürsorgeleistungen prima facie nicht. Sodann handelt es sich beim Beschwerdeführer um einen gesunden Mann, der Deutsch spricht und angibt, arbeitswillig zu sein. Auch wenn er keine Ausbildung abgeschlossen hat, besteht vorliegend kein Grund zur Annahme, dass er nach Erhalt der Aufenthaltsbewilligung keine Erwerbstätigkeit aufnehmen wird. Es ist deshalb prima facie entgegen der Feststellung der Vorinstanz nicht davon auszugehen, dass er den Widerrufsgrund von Art. 63 Abs. 1 lit. c AIG erfüllt. Die Verlobte des Beschwerdeführers bezieht zwar Ergänzungsleistungen. Sozialversicherungsleistungen unter Einschluss der Ergänzungsleistungen zur Alters-, Hinterlassenen- und Invalidenversicherung sowie Familienzulagen sind indes keine Sozialhilfe im Sinn von Art. 63 Abs. 1 lit. c AIG (BGE 135 II 265 E. 3.7; BGr, 18. Februar 2021, 2C_937/2020, E. 4.1; BGr, 2. Februar 2016, 2C_120/2015, E. 2.1). Zusammenfassend ist im Rahmen einer summarischen Prüfung davon auszugehen, dass der Beschwerdeführer nach der Heirat die Voraussetzungen für eine Bewilligungserteilung erfüllt. Es ist jedoch darauf hinzuweisen, dass die Erteilung einer Aufenthaltsbewilligung dennoch verweigert werden kann, sollte sich bei einer umfassenden Prüfung ergeben, dass die Voraussetzungen nicht erfüllt sind oder ein Widerrufsgrund vorliegt. Dies führt zur Gutheissung der Beschwerde. Das Migrationsamt ist anzuweisen, dem Beschwerdeführer eine Kurzaufenthaltsbewilligung zwecks Vorbereitung der Heirat zu erteilen.</w:t>
      </w:r>
    </w:p>
    <w:p>
      <w:r>
        <w:rPr>
          <w:b/>
        </w:rPr>
        <w:t>E. 4.1</w:t>
      </w:r>
    </w:p>
    <w:p>
      <w:r>
        <w:t>Ausgangsgemäss sind die Gerichtskosten dem Beschwerdegegner aufzuerlegen und steht dem Beschwerdeführer eine Parteientschädigung zu (§ 13 Abs. 2 in Verbindung mit § 65a Abs. 2 sowie § 17 Abs. 2 VRG). Diese wird für das vorliegende Verfahren auf Fr. 1'500.- festgesetzt.</w:t>
      </w:r>
    </w:p>
    <w:p>
      <w:r>
        <w:rPr>
          <w:b/>
        </w:rPr>
        <w:t>E. 4.2</w:t>
      </w:r>
    </w:p>
    <w:p>
      <w:r>
        <w:t>Die Verfahrenskosten des vorinstanzlichen Rekursverfahrens sind ebenfalls dem Beschwerdegegner aufzuerlegen. Dieser hat dem Beschwerdeführer für das vorinstanzliche Verfahren zudem eine Parteientschädigung von Fr. 1'500.- zu bezahlen.</w:t>
      </w:r>
    </w:p>
    <w:p>
      <w:r>
        <w:rPr>
          <w:b/>
        </w:rPr>
        <w:t>E. 4.3.1</w:t>
      </w:r>
    </w:p>
    <w:p>
      <w:r>
        <w:t>Der Beschwerdeführer beantragt für das Beschwerde- sowie das Rekursverfahren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Rechtsvertretung,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4.3.2</w:t>
      </w:r>
    </w:p>
    <w:p>
      <w:r>
        <w:t>Da bei diesem Verfahrensausgang die Gerichtskosten dem Beschwerdegegner aufzuerlegen sind, ist das Gesuch um Gewährung der unentgeltlichen Prozessführung sowohl für das Beschwerde- als auch das Rekursverfahren als gegenstandslos geworden abzuschreiben, womit nur über das Gesuch um Bestellung einer unentgeltlichen Rechtsvertreterin zu befinden ist.</w:t>
      </w:r>
    </w:p>
    <w:p>
      <w:r>
        <w:rPr>
          <w:b/>
        </w:rPr>
        <w:t>E. 4.3.3</w:t>
      </w:r>
    </w:p>
    <w:p>
      <w:r>
        <w:t>Der Beschwerdeführer ist erwiesenermassen nicht in der Lage, für die Prozess- bzw. Vertretungskosten aufzukommen. Er ist daher als mittellos zu betrachten. Die vorliegende Beschwerde erweist sich angesichts des Verfahrensausgangs nicht als offensichtlich aussichtslos und der Beschwerdeführer ist offensichtlich auch nicht in der Lage, seine Rechte im Verfahren selbst zu wahren. Dem Gesuch um unentgeltliche Rechtsverbeiständung ist deshalb zu entsprechen und dem Beschwerdeführer ist Rechtsanwältin D sowohl für das Beschwerde- als auch das Rekursverfahren als unentgeltliche Rechtsbeiständin zu bestellen.</w:t>
      </w:r>
    </w:p>
    <w:p>
      <w:r>
        <w:rPr>
          <w:b/>
        </w:rPr>
        <w:t>E. 4.3.4</w:t>
      </w:r>
    </w:p>
    <w:p>
      <w:r>
        <w:t>Rechtsanwältin D macht für das Rekursverfahren einen Zeitaufwand von 10,05 Stunden zum Stundensatz von Fr. 220.- und Barauslagen von Fr. 28.10 geltend, was als angemessen erscheint. Die Parteientschädigung ist an die der unentgeltlichen Rechtsbeiständin zu leistende Entschädigung anzurechnen, weshalb Rechtsanwältin D unter Anrechnung der zugesprochenen Parteientschädigung nur noch im Mehrbetrag von Fr. 911.50 (Fr. 2'411.50 [inkl. Barauslagen von Fr. 28.10 und Mehrwertsteuer] ./. Fr. 1'500.-) a us der Staatskasse zu entschädigen ist.</w:t>
      </w:r>
    </w:p>
    <w:p>
      <w:r>
        <w:rPr>
          <w:b/>
        </w:rPr>
        <w:t>E. 4.3.5</w:t>
      </w:r>
    </w:p>
    <w:p>
      <w:r>
        <w:t>Rechtsanwältin D macht für das Beschwerdeverfahren einen Zeitaufwand von 6,9 Stunden zum Stundensatz von Fr. 220.- und Barauslagen von Fr. 35.80 geltend, was als angemessen erscheint. Die Parteientschädigung ist an die der unentgeltlichen Rechtsbeiständin zu leistende Entschädigung anzurechnen, weshalb Rechtsanwältin D unter Anrechnung der zugesprochenen Parteientschädigung nur noch im Mehrbetrag von Fr. 173.45 (Fr. 1'673.45 [inkl. Barauslagen von Fr. 35.80 und Mehrwertsteuer] ./. Fr. 1'500.-) aus der Gerichtskasse zu entschädigen ist.</w:t>
      </w:r>
    </w:p>
    <w:p>
      <w:r>
        <w:rPr>
          <w:b/>
        </w:rPr>
        <w:t>E. 4.4</w:t>
      </w:r>
    </w:p>
    <w:p>
      <w:r>
        <w:t>In Bezug auf den von der Gerichts- bzw. Staatskasse zu bezahlenden Betrag ist der Beschwerdeführer gestützt auf § 65a Abs. 2 in Verbindung mit § 16 Abs. 4 VRG darauf aufmerksam zu machen, dass er Nachzahlung leisten muss, sobald er dazu in der Lage ist. Entsprechend der an den unentgeltlichen Rechtsbeistand zu entrichtenden Entschädigung beschränkt sich die Nachzahlungspflicht auf den je Fr. 1'500.- übersteigenden Betrag, d. h. auf Fr. 911.50 bzw. Fr. 173.45. Der Anspruch des Kantons verjährt zehn Jahre nach Abschluss des Verfahrens.</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