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VB.2021.00698 vom 25. November 2021</w:t>
      </w:r>
    </w:p>
    <w:p>
      <w:r>
        <w:t>ZH Verwaltungsgericht, 2021-11-25, DE</w:t>
      </w:r>
    </w:p>
    <w:p>
      <w:r>
        <w:rPr>
          <w:b/>
        </w:rPr>
        <w:t xml:space="preserve">Quelle: </w:t>
      </w:r>
      <w:r>
        <w:t>https://mcp.opencaselaw.ch/entscheid/zh_verwaltungsgericht__VB.2021.00698</w:t>
      </w:r>
    </w:p>
    <w:p>
      <w:r>
        <w:t>FR: ZH_VERWALTUNGSGERICHT VB.2021.00698 du 25 novembre 2021</w:t>
      </w:r>
    </w:p>
    <w:p>
      <w:r>
        <w:t>IT: ZH_VERWALTUNGSGERICHT VB.2021.00698 del 25 novembre 2021</w:t>
      </w:r>
    </w:p>
    <w:p>
      <w:pPr>
        <w:pStyle w:val="Heading2"/>
      </w:pPr>
      <w:r>
        <w:t>Regeste</w:t>
      </w:r>
    </w:p>
    <w:p>
      <w:r>
        <w:t>Kindergartenzuteilung | [Kindergartenzuteilung; Zumutbarkeit des Schulweges und rechtsgleiche Behandlung] Der Schulweg ist zumutbar und nicht übermässig gefährlich (E. 2). Auch wenn ein Schulweg zumutbar ist, kann die entsprechende Kindergartenzuteilung das Rechtsgleichheitsverbot verletzen. Bei der Kindergartenzuteilung haben die Behörden die Zuteilungskriterien zu beachten, und es steht ihnen ein relativ grosser Ermessensspielraum zu. Die Beschwerdegegnerin hat die Kindergartenzuteilung nach geografischen Kriterien vorgenommen und auf ausgewogene Klassenbestände geachtet. Der Schulweg des Sohnes der Beschwerdeführenden ist kürzer als derjenige, den die zwei von den Beschwerdeführenden genannten Kinder hätten, sofern sie in diesen Kindergarten eingeteilt würden. Keine Verletzung des Rechtsgleichheitsgebots (E. 3). Abweisung.</w:t>
      </w:r>
    </w:p>
    <w:p>
      <w:pPr>
        <w:pStyle w:val="Heading2"/>
      </w:pPr>
      <w:r>
        <w:t>Erwägungen</w:t>
      </w:r>
    </w:p>
    <w:p>
      <w:r>
        <w:rPr>
          <w:b/>
        </w:rPr>
        <w:t>E. 4</w:t>
      </w:r>
    </w:p>
    <w:p>
      <w:r>
        <w:t>Nach dem Gesagten ist die Beschwerde abzuweisen.</w:t>
      </w:r>
    </w:p>
    <w:p>
      <w:r>
        <w:rPr>
          <w:b/>
        </w:rPr>
        <w:t>E. 5.1</w:t>
      </w:r>
    </w:p>
    <w:p>
      <w:r>
        <w:t>Ausgangsgemäss sind die Gerichtskosten den Beschwerdeführenden unter solidarischer Haftung aufzuerlegen (§ 65a Abs. 2 in Verbindung mit § 13 Abs. 2 Satz 1 und § 14 VRG; vgl. Kaspar Plüss, Kommentar VRG, § 14 N. 11); eine Parteientschädigung ist ihnen nicht zuzusprechen (§ 17 Abs. 2 VRG).</w:t>
      </w:r>
    </w:p>
    <w:p>
      <w:r>
        <w:rPr>
          <w:b/>
        </w:rPr>
        <w:t>E. 5.2</w:t>
      </w:r>
    </w:p>
    <w:p>
      <w:r>
        <w:t>Hinsichtlich des Entschädigungsantrags der obsiegenden Beschwerdegegnerin ergibt sich Folgendes: Das Gemeinwesen hat in der vorliegenden Konstellation grundsätzlich keinen Anspruch auf eine Parteientschädigung, weil das Erheben und Beantworten von Rechtsmitteln zu den angestammten amtlichen Aufgaben gehört (vgl. VGr, 25. November 2021, VB.2021.00543, E. 9.2). Zudem übertrifft der Aufwand, welcher der Beschwerdegegnerin im Beschwerdeverfahren entstanden ist, denjenigen, der im vorangehenden nicht streitigen Zuteilungsverfahren ohnehin zu erbringen war, nicht wesentlich (vgl.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