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VB.2021.00689 vom 19. Mai 2011</w:t>
      </w:r>
    </w:p>
    <w:p>
      <w:r>
        <w:t>ZH Verwaltungsgericht, 2011-05-19, DE</w:t>
      </w:r>
    </w:p>
    <w:p>
      <w:r>
        <w:rPr>
          <w:b/>
        </w:rPr>
        <w:t xml:space="preserve">Quelle: </w:t>
      </w:r>
      <w:r>
        <w:t>https://mcp.opencaselaw.ch/entscheid/zh_verwaltungsgericht__VB.2021.00689</w:t>
      </w:r>
    </w:p>
    <w:p>
      <w:r>
        <w:t>FR: ZH_VERWALTUNGSGERICHT VB.2021.00689 du 19 mai 2011</w:t>
      </w:r>
    </w:p>
    <w:p>
      <w:r>
        <w:t>IT: ZH_VERWALTUNGSGERICHT VB.2021.00689 del 19 maggio 2011</w:t>
      </w:r>
    </w:p>
    <w:p>
      <w:pPr>
        <w:pStyle w:val="Heading2"/>
      </w:pPr>
      <w:r>
        <w:t>Regeste</w:t>
      </w:r>
    </w:p>
    <w:p>
      <w:r>
        <w:t>Nichtpromotion (Parteientschädigung) | [Beschwerdeberechtigung einer Kantonsschule] Die Kantonsschule Limmattal ist eine unselbständige öffentlich-rechtliche Anstalt ohne Rechtspersönlichkeit. Sie kann deshalb ihre Beschwerdeberechtigung nicht auf § 49 in Verbindung mit § 21 Abs. 2 lit. c VRG stützen. Mangels einer spezialgesetzlichen Legitimationsvorschrift fehlt ihr die aktive Rechtsmittelfähigkeit (E. 2). Nichteintreten.</w:t>
      </w:r>
    </w:p>
    <w:p>
      <w:pPr>
        <w:pStyle w:val="Heading2"/>
      </w:pPr>
      <w:r>
        <w:t>Erwägungen</w:t>
      </w:r>
    </w:p>
    <w:p>
      <w:r>
        <w:rPr>
          <w:b/>
        </w:rPr>
        <w:t>E. 4</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