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VB.2021.00687 vom 28. Juli 2022</w:t>
      </w:r>
    </w:p>
    <w:p>
      <w:r>
        <w:t>ZH Verwaltungsgericht, 2022-07-28, DE</w:t>
      </w:r>
    </w:p>
    <w:p>
      <w:r>
        <w:rPr>
          <w:b/>
        </w:rPr>
        <w:t xml:space="preserve">Quelle: </w:t>
      </w:r>
      <w:r>
        <w:t>https://mcp.opencaselaw.ch/entscheid/zh_verwaltungsgericht__VB.2021.00687</w:t>
      </w:r>
    </w:p>
    <w:p>
      <w:r>
        <w:t>FR: ZH_VERWALTUNGSGERICHT VB.2021.00687 du 28 juillet 2022</w:t>
      </w:r>
    </w:p>
    <w:p>
      <w:r>
        <w:t>IT: ZH_VERWALTUNGSGERICHT VB.2021.00687 del 28 luglio 2022</w:t>
      </w:r>
    </w:p>
    <w:p>
      <w:pPr>
        <w:pStyle w:val="Heading2"/>
      </w:pPr>
      <w:r>
        <w:t>Regeste</w:t>
      </w:r>
    </w:p>
    <w:p>
      <w:r>
        <w:t>Nichtverlängerung der Aufenthaltsbewilligung | Der aufenthaltsberechtigte Beschwerdeführer ist Staatsangehöriger der Demokratischen Republik Kongo. Er hat durch seine Sozialhilfeabhängigkeit einen Widerrufsgrund nach Art. 62 Abs. 1 lit. e AIG gesetzt (E. 2.2). Der Beschwerdeführer hat gesundheitliche Probleme, die ihm (schwere) körperliche Arbeit verunmöglichen (E. 2.4.2). Durch die Anhäufung von Schulden in erheblicher Höhe und durch seine Straffälligkeit besteht ein erhebliches öffentliches Interesse an der Wegweisung des Beschwerdeführers (E. 2.6). In Bezug auf die Beziehung zu seinen Söhnen in der Schweiz und auf seine familiären Verhältnisse im Kongo sind zusätzliche Sachverhaltsabklärungen notwendig, da diese Tatsachen vorliegend entscheidrelevant sind (E.3.6 ff.). Teilweise Gutheissung und Rückweisung an die Vorinstanz.</w:t>
      </w:r>
    </w:p>
    <w:p>
      <w:pPr>
        <w:pStyle w:val="Heading2"/>
      </w:pPr>
      <w:r>
        <w:t>Erwägungen</w:t>
      </w:r>
    </w:p>
    <w:p>
      <w:r>
        <w:rPr>
          <w:b/>
        </w:rPr>
        <w:t>E. 4</w:t>
      </w:r>
    </w:p>
    <w:p>
      <w:r>
        <w:t>Nach dem Gesagten ist die Beschwerde teilweise gutzuheissen und die Sache unter Aufhebung des Rekursentscheids vom 31. August 2021 zur Vornahme weiterer Abklärungen im Sinn der Erwägungen und zu neuem Entscheid an die Vorinstanz zurückzuweisen. Das Gesuch um unentgeltliche Rechtspflege für das Rekursverfahren hätte gutgeheissen werden müssen, weil bereits das Rekursverfahren nicht aussichtslos erscheint. Die Vorinstanz hat Rechtsanwältin M als unentgeltliche Rechtsbeiständin für den ersten Rechtsgang des Rekursverfahrens zu bestellen und ihre Entschädigung festzusetzen.</w:t>
      </w:r>
    </w:p>
    <w:p>
      <w:r>
        <w:rPr>
          <w:b/>
        </w:rPr>
        <w:t>E. 5</w:t>
      </w:r>
    </w:p>
    <w:p>
      <w:r>
        <w:t>Die Rückweisung zur erneuten Entscheidung ist in Bezug auf die Regelung der Nebenfolgen als Obsiegen zu behandeln, sofern die infolge der Rückweisung vorzunehmende neue Beurteilung zu einer Gutheissung des Antrags führen kann (BGr, 28. April 2014, 2C_846/2013, E. 3.2 f. mit Hinweisen; VGr, 25. November 2021, VB.2021.00514, E. 4.1). Demnach hat der Beschwerdeführer als obsiegend zu gelten und sind die Kosten des Beschwerdeverfahrens dem Beschwerdegegner aufzuerlegen. Das Gesuch um unentgeltliche Prozessführung wird damit gegenstandslos. Für das Beschwerdeverfahren ist dem nicht vertretenen Beschwerdeführer keine Parteientschädigung zuzusprechen.</w:t>
      </w:r>
    </w:p>
    <w:p>
      <w:r>
        <w:rPr>
          <w:b/>
        </w:rPr>
        <w:t>E. 6</w:t>
      </w:r>
    </w:p>
    <w:p>
      <w:r>
        <w:t>Zur Rechtsmittelbelehrung des nachstehenden Dispositivs ist Folgendes zu erläutern: Soweit ein Anwesenheitsanspruch geltend gemacht werden will,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 Letztinstanzliche kantonale Rückweisungsentscheide sind als Zwischenentscheide im Sinn von Art. 93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