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VB.2021.00658 vom 16. Juni 2022</w:t>
      </w:r>
    </w:p>
    <w:p>
      <w:r>
        <w:t>ZH Verwaltungsgericht, 2022-06-16, DE</w:t>
      </w:r>
    </w:p>
    <w:p>
      <w:r>
        <w:rPr>
          <w:b/>
        </w:rPr>
        <w:t xml:space="preserve">Quelle: </w:t>
      </w:r>
      <w:r>
        <w:t>https://mcp.opencaselaw.ch/entscheid/zh_verwaltungsgericht__VB.2021.00658</w:t>
      </w:r>
    </w:p>
    <w:p>
      <w:r>
        <w:t>FR: ZH_VERWALTUNGSGERICHT VB.2021.00658 du 16 juin 2022</w:t>
      </w:r>
    </w:p>
    <w:p>
      <w:r>
        <w:t>IT: ZH_VERWALTUNGSGERICHT VB.2021.00658 del 16 giugno 2022</w:t>
      </w:r>
    </w:p>
    <w:p>
      <w:pPr>
        <w:pStyle w:val="Heading2"/>
      </w:pPr>
      <w:r>
        <w:t>Regeste</w:t>
      </w:r>
    </w:p>
    <w:p>
      <w:r>
        <w:t>Verlängerung der Aufenthaltsbewilligung | Die Ehe des Beschwerdeführers und seiner Ehefrau, einer Schweizerin, wurde in der Schweiz keine drei Jahre gelebt (E. 2.1). Die Voraussetzungen für die Verlängerung seiner Aufenthaltsbewilligung gestützt auf Art. 50 Abs. 1 lit. b AIG sind ebenfalls nicht erfüllt, obschon der Beschwerdeführer das Sorgerecht über ein minderjähriges Kind mit Schweizer Bürgerrecht innehat, da weder in affektiver noch in wirtschaftlicher Hinsicht eine hinreichend enge Beziehung zwischen den beiden besteht (E. 2.2). Der Schluss von Beschwerdegegner und Vorinstanz, die Aufenthaltsbewilligung des Beschwerdeführers auch im Rahmen des pflichtgemässen Ermessens nicht zu verlängern, ist nicht rechtsverletzend (E.3.2). Gutheissung URB/UP. Abweisung.</w:t>
      </w:r>
    </w:p>
    <w:p>
      <w:pPr>
        <w:pStyle w:val="Heading2"/>
      </w:pPr>
      <w:r>
        <w:t>Erwägungen</w:t>
      </w:r>
    </w:p>
    <w:p>
      <w:r>
        <w:rPr>
          <w:b/>
        </w:rPr>
        <w:t>E. 4</w:t>
      </w:r>
    </w:p>
    <w:p>
      <w:r>
        <w:t>Nach dem Gesagten ist die Beschwerde abzuweisen.</w:t>
      </w:r>
    </w:p>
    <w:p>
      <w:r>
        <w:rPr>
          <w:b/>
        </w:rPr>
        <w:t>E. 5.1</w:t>
      </w:r>
    </w:p>
    <w:p>
      <w:r>
        <w:t>Ausgangsgemäss sind die Kosten des Beschwerdeverfahrens dem unterliegenden Beschwerdeführer aufzuerlegen (§ 65a Abs. 2 in Verbindung mit § 13 Abs. 2 Satz 1 VRG) und ist diesem keine Parteientschädigung zuzusprechen (§ 17 Abs. 2 lit. a VRG).</w:t>
      </w:r>
    </w:p>
    <w:p>
      <w:r>
        <w:rPr>
          <w:b/>
        </w:rPr>
        <w:t>E. 5.2</w:t>
      </w:r>
    </w:p>
    <w:p>
      <w:r>
        <w:t>Der Beschwerdeführer ersucht um Gewährung unentgeltlicher Rechtsvertretung für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w:t>
      </w:r>
    </w:p>
    <w:p>
      <w:r>
        <w:rPr>
          <w:b/>
        </w:rPr>
        <w:t>E. 5.3</w:t>
      </w:r>
    </w:p>
    <w:p>
      <w:r>
        <w:t>Der Beschwerdeführer ist mittellos. Weil er eine enge Beziehung zu seinem Schweizer Sohn unterhält und diesen seit einem Jahr zumindest zweimal pro Woche begleitet sieht, lässt sich die Rechtsmittelerhebung auch nicht als von vornherein aussichtslos bezeichnen, weshalb dem Beschwerdeführer die unentgeltliche Rechtspflege für das Beschwerdeverfahren zu gewähren ist. Der Aufwand von Fr. 3'111.60 (inklusive Mehrwertsteuer und Barauslagen), welcher die Rechtsvertreterin des Beschwerdeführers in diesem Zusammenhang in ihrer Kostennote vom 17. März 2022 geltend macht, erscheint dabei insgesamt als angemessen. Rechtsanwältin RA B ist daher in entsprechendem Umfang aus der Gerichtskasse zu entschädigen.</w:t>
      </w:r>
    </w:p>
    <w:p>
      <w:r>
        <w:rPr>
          <w:b/>
        </w:rPr>
        <w:t>E. 5.4</w:t>
      </w:r>
    </w:p>
    <w:p>
      <w:r>
        <w:t>Der Beschwerdeführer ist darauf hinzuweisen, dass gemäss § 16 Abs. 4 VRG eine Partei, der die unentgeltliche Rechtspflege gewährt wurde, zur Nachzahlung verpflichtet ist, sobald sie dazu in der Lage ist. Der Anspruch des Kantons verjährt zehn Jahre nach Abschluss des Verfahrens.</w:t>
      </w:r>
    </w:p>
    <w:p>
      <w:r>
        <w:rPr>
          <w:b/>
        </w:rPr>
        <w:t>E. 6</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