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VB.2021.00656 vom 10. November 2021</w:t>
      </w:r>
    </w:p>
    <w:p>
      <w:r>
        <w:t>ZH Verwaltungsgericht, 2021-11-10, DE</w:t>
      </w:r>
    </w:p>
    <w:p>
      <w:r>
        <w:rPr>
          <w:b/>
        </w:rPr>
        <w:t xml:space="preserve">Quelle: </w:t>
      </w:r>
      <w:r>
        <w:t>https://mcp.opencaselaw.ch/entscheid/zh_verwaltungsgericht__VB.2021.00656</w:t>
      </w:r>
    </w:p>
    <w:p>
      <w:r>
        <w:t>FR: ZH_VERWALTUNGSGERICHT VB.2021.00656 du 10 novembre 2021</w:t>
      </w:r>
    </w:p>
    <w:p>
      <w:r>
        <w:t>IT: ZH_VERWALTUNGSGERICHT VB.2021.00656 del 10 novembre 2021</w:t>
      </w:r>
    </w:p>
    <w:p>
      <w:pPr>
        <w:pStyle w:val="Heading2"/>
      </w:pPr>
      <w:r>
        <w:t>Regeste</w:t>
      </w:r>
    </w:p>
    <w:p>
      <w:r>
        <w:t>Einreise zum erwerbslosen Aufenthalt | [Aufenthaltsbewilligung zum Zweck der Familienzusammenführung und gegenseitigen Unterstützung] Zwischen der Schweiz und Venezuela besteht kein Staatsvertrag, welcher den Eltern der Beschwerdeführerin einen Anspruch auf Aufenthalt verschaffen könnte. Sie können auch aus Art. 8 EMRK bzw. Art. 13 Abs. 1 BV keinen Aufenthaltsanspruch ableiten (E. 3). Die Voraussetzungen für eine Ermessensbewilligung sind nicht erfüllt; insbesondere fällt eine Zulassung der Eltern der Beschwerdeführerin als Rentner ausser Betracht (E. 4). Ausgangsgemässe Regelung der Kosten- und Entschädigungsfolgen (E. 5). Abweisung der Beschwerde.</w:t>
      </w:r>
    </w:p>
    <w:p>
      <w:pPr>
        <w:pStyle w:val="Heading2"/>
      </w:pPr>
      <w:r>
        <w:t>Erwägungen</w:t>
      </w:r>
    </w:p>
    <w:p>
      <w:r>
        <w:rPr>
          <w:b/>
        </w:rPr>
        <w:t>E. 2</w:t>
      </w:r>
    </w:p>
    <w:p>
      <w:r>
        <w:t>Die Beschwerdeführerin ersucht um Zulassung ihrer Eltern zwecks Familienzusammenführung und gegenseitiger Unterstützung.</w:t>
      </w:r>
    </w:p>
    <w:p>
      <w:r>
        <w:rPr>
          <w:b/>
        </w:rPr>
        <w:t>E. 3.1</w:t>
      </w:r>
    </w:p>
    <w:p>
      <w:r>
        <w:t>Zwischen der Schweiz und Venezuela besteht kein Staatsvertrag, welcher den Eltern der Beschwerdeführerin einen Anspruch auf Aufenthalt verschaffen könnte. Wie die Vor­instanz zutreffend feststellte, ist die Internationale Konvention vom 18. Dezember 1990 zum Schutz der Rechte aller Wanderarbeitnehmer und ihrer Familienangehörigen (Wanderarbeitnehmerkonvention) von der Schweiz bislang weder unterzeichnet noch ratifiziert worden (vgl. Interpellation 08.3415 vom 13. Juni 2008, Silvia Schenker, Sozialdemokratische Partei; Einfache Anfrage 03.1079 vom 18. Juni 2003, Paul Rechsteiner, Sozialdemokratische Partei). Das besagte Abkommen ist entgegen der Auffassung der Beschwerdeführerin somit nicht anwendbar, weshalb sie daraus nichts zu ihren Gunsten ableiten kann.</w:t>
      </w:r>
    </w:p>
    <w:p>
      <w:r>
        <w:rPr>
          <w:b/>
        </w:rPr>
        <w:t>E. 3.2.1</w:t>
      </w:r>
    </w:p>
    <w:p>
      <w:r>
        <w:t>Zu bestätigen ist der vorinstanzliche Entscheid ferner insoweit, als die Eltern der Beschwerdeführerin auch aus Art. 8 Ziff. 1 der Europäischen Menschenrechtskonvention (EMRK) bzw. Art. 13 Abs. 1 der Bundesverfassung (BV) keinen Aufenthaltsanspruch ableiten können. Es ist unbestritten, dass die Beschwerdeführerin lediglich über eine abgeleitete Aufenthaltsbewilligung und damit nicht über ein gefestigtes Aufenthaltsrecht verfügt. Schon aus diesem Grund kann sie sich nicht auf den konventions- bzw. verfassungsrechtlichen Schutz des Familienlebens berufen. Selbst wenn die Beschwerdeführerin über ein gefestigtes Anwesenheitsrecht verfügen würde, könnte sie aus Art. 8 EMRK bzw. Art. 13 BV nichts zu ihren Gunsten ableiten.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bzw. Art. 13 BV, nämlich dann, wenn ein besonderes Abhängigkeitsverhältnis besteht (BGE 144 I 91 E. 5.1; 139 II 393 E. 5.1; 137 I 154 E. 3.4.2; 135 I 143 E. 3.1; 120 Ib 257 E. 1d und 1e; BGr, 27. Mai 2021, 2C_396/2021, E. 3.1, mit Hinweis auf die Rechtsprechung des Europäischen Gerichtshofs für Menschenrechte [EGMR]). Im Unterschied zu den Mitgliedern der Kernfamilie, welche aufgrund eines gemeinsamen Lebensplans (Ehe bzw. Kindsverhältnis) grundsätzlich zusammengehören und demzufolge gestützt auf Art. 8 Ziff. 1 EMRK einen Anspruch auf Zusammenführung (landesrechtlich umgesetzt in Art. 42 ff. AuG) geltend machen können, muss beim erweiterten Familienbegriff eine besonders enge Beziehung bestehen, damit im Fall der Verweigerung des Aufenthaltsrechts überhaupt von einem Eingriff in das Familienleben gesprochen werden kann. So fällt etwa die Beziehung von Konkubinatspaaren oder Verlobten nur unter qualifizierten Voraussetzungen unter den Schutz von Art. 8 Ziff. 1 EMRK (BGE 144 I 266 E. 2.4 u. 2.5;). Ebenso ist bei der Beziehung zwischen Eltern und erwachsenen Kindern praxisgemäss ein besonderes Abhängigkeitsverhältnis erforderlich. Auch dieses muss gewachsen sein und im Zeitpunkt der Geltendmachung des Anspruchs bestehen (zum Ganzen: BGr, 27. Mai 2021, 2C_396/2021, E. 3.2, mit weiteren Hinweisen). Der erweiterte Familienbegriff im Sinn von Art. 8 Ziff. 1 EMRK ist auf die Situation zugeschnitten, dass durch die Wegweisung einer ausländischen Person, welche in qualifizierter Weise von hier ansässigen nahen Verwandten abhängig ist, das Familienleben vereitelt würde.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Die Beziehung zwischen Eltern und erwachsenen Kindern fällt nur unter den Schutz von Art. 8 Ziff. 1 EMRK, wenn sie aufgrund der bestehenden Abhängigkeit besonders eng ist (zum Ganzen: BGr, 27. Mai 2021, 2C_396/2021, E. 3.2, mit weiteren Hinweisen).</w:t>
      </w:r>
    </w:p>
    <w:p>
      <w:r>
        <w:rPr>
          <w:b/>
        </w:rPr>
        <w:t>E. 3.2.2</w:t>
      </w:r>
    </w:p>
    <w:p>
      <w:r>
        <w:t>Die Vorinstanz erwog unter anderem, dass für die Eltern der Beschwerdeführerin in Chile eine Pflegekraft engagiert werden könnte, welche sich um deren Pflege und Betreuung kümmert. Die Beschwerdeführerin setzt dem nichts entgegen. Insbesondere macht sie nicht geltend, dass die Pflege ihrer Eltern unabdingbar von ihr in der Schweiz erbracht werden muss und die Beziehung zu ihren Eltern gerade aufgrund der bestehenden Abhängigkeit besonders eng ist. Entsprechendes ergibt sich auch nicht aus den Akten. Damit besteht kein Raum für einen sogenannten umgekehrten Familiennachzug gestützt auf Art. 8 EMRK bzw. Art. 13 BV.</w:t>
      </w:r>
    </w:p>
    <w:p>
      <w:r>
        <w:rPr>
          <w:b/>
        </w:rPr>
        <w:t>E. 4.1</w:t>
      </w:r>
    </w:p>
    <w:p>
      <w:r>
        <w:t>Die Vorinstanzen prüften sodann, ob die Voraussetzungen für eine Ermessensbewilligung gegeben sind. Es stellt sich die Frage, ob sie dies zu Recht verneinten bzw. ob sie in diesem Zusammenhang das ihnen zustehende Ermessen rechtsfehlerhaft ausgeübt haben.</w:t>
      </w:r>
    </w:p>
    <w:p>
      <w:r>
        <w:rPr>
          <w:b/>
        </w:rPr>
        <w:t>E. 4.2.1</w:t>
      </w:r>
    </w:p>
    <w:p>
      <w:r>
        <w:t>Gemäss Art. 28 des Ausländer- und Integrationsgesetzes vom 16. Dezember 2005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4.2.2</w:t>
      </w:r>
    </w:p>
    <w:p>
      <w:r>
        <w:t>Die Eltern der Beschwerdeführerin sind rund 82 bzw. 75 Jahre alt und überschreiten damit das vom Bundesrat in Art. 25 Abs. 1 VZAE auf 55 Jahre festgelegte Mindestalter. Angesichts ihres Alters ist davon auszugehen, dass sie weder im Ausland noch in der Schweiz einer entgeltlichen Tätigkeit nachgehen bzw. nachgehen werden. Ihre Zulassung als Rentner fällt aber im Sinn nachfolgender Erwägungen mangels besonderer persönlicher Beziehungen zur Schweiz ausser Betracht.</w:t>
      </w:r>
    </w:p>
    <w:p>
      <w:r>
        <w:rPr>
          <w:b/>
        </w:rPr>
        <w:t>E. 4.2.3</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vgl. die aktuellen Weisungen und Erläuterungen Ausländerbereich [Weisungen AIG] des Staatssekretariats für Migration [SEM], Ziff. 5.3 [abrufbar auf www.sem.admin.ch]; Botschaft, BBl 2002, 3709 ff., 3785). Hierdurch soll der Gefahr der Abhängigkeit oder sozialen Isolation begegnet und der zu erwartende Inte­grationserfolg sichergestellt werden (vgl. BVGr, 31. August 2017, F-3240/2016, E. 10.2, vgl. zu den generellen Integrationserwartungen auch Art. 58a AIG). Vor dem Hintergrund der zunehmenden Überalterung der Bevölkerung und der entsprechenden Belastung der Sozialwerke und Krankenkassen ist der Zuzug wirtschaftlich nicht aktiver Personen, die nie Beiträge daran gezahlt haben, sehr restriktiv zu regeln (vgl. Art. 3 Abs. 3 AIG sowie BVGr, 17. Februar 2014, C-1156/2012, E. 7.4 ff.). Dies widerspiegelt sich schon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aus dem systematischen Kontext, sind doch die Nachzugsbedingungen aufgrund blosser familiärer Beziehungen in Art. 47 AIG und Art. 73 VZAE geregelt und sollte mit Art. 28 AIG nicht etwa ein vereinfachter Familiennachzug in aufsteigender Linie eingeführt werden (vgl. VGr, 17. April 2019, VB.2019.00114, E. 4.3.1; VGr, 24. Oktober 2018, VB.2018.00496, E. 3.3; BVGr, 31. August 2017, F-3240/2016, E. 10.2). Die Vorinstanz gelangte zum Schluss, dass keine besonderen persönlichen Beziehungen im Sinn des soeben Ausgeführten bestehen. Der Umstand, dass die Eltern der Beschwerdeführerin unstreitig noch nie in der Schweiz waren, genügt, um den vorinstanzlichen Entscheid in diesem Punkt bestätigen zu können. Da, wie die Vorinstanz zutreffend erwog, die Vor­aussetzungen von Art. 28 AIG und Art. 25 VZAE kumulativ erfüllt sein müssen, erübrigen sich weitergehende Ausführungen zu den finanziellen Verhältnissen. Damit stellt sich auch die Frage nicht, ob die Vorinstanzen das ihnen zustehende Ermessen bei der Verweigerung der Aufenthaltsbewilligung korrekt ausgeübt haben. Die Erteilung einer Aufenthaltsbewilligung gestützt auf Art. 28 AIG und Art. 25 VZAE fällt im Ergebnis ausser Betracht.</w:t>
      </w:r>
    </w:p>
    <w:p>
      <w:r>
        <w:rPr>
          <w:b/>
        </w:rPr>
        <w:t>E. 4.3</w:t>
      </w:r>
    </w:p>
    <w:p>
      <w:r>
        <w:t>Es sind keine weiteren Gründe ersichtlich, gestützt auf welche den Eltern der Beschwerdeführerin der Aufenthalt in der Schweiz zu bewilligen ist. Namentlich sind die Voraussetzungen für eine Aufenthaltsbewilligung im pflichtgemässen Ermessen (Art. 3 in Verbindung mit Art. 96 AIG) oder für eine Härtefallbewilligung (Art. 30 Abs. 1 lit. b AIG) nicht erfüllt. Weitere Sachverhaltsabklärungen sind aufgrund der klaren Sach- und Rechtslage nicht erforderlich. Die Vorinstanz hat eine korrekte Interessenabwägung vorgenommen und alle massgeblichen Abwägungskriterien (Art. 96 AIG) eingehend berücksichtigt. Eine rechtsverletzende Ermessensausübung ist nicht ersichtlich. Vielmehr ist es der Beschwerdeführerin und ihren Eltern zuzumuten, den Kontakt wie bis anhin über die Distanz oder durch wechselseitige Besuche aufrechtzuerhalten.</w:t>
      </w:r>
    </w:p>
    <w:p>
      <w:r>
        <w:rPr>
          <w:b/>
        </w:rPr>
        <w:t>E. 5</w:t>
      </w:r>
    </w:p>
    <w:p>
      <w:r>
        <w:t>Ausgangsgemäss sind die Gerichtskosten der Beschwerdeführerin aufzuerlegen (§ 65a Abs. 2 in Verbindung mit § 13 Abs. 2 VRG) und steht ihr keine Partei- bzw. Umtriebsentschädigung zu (§ 17 Abs. 2 VRG).</w:t>
      </w:r>
    </w:p>
    <w:p>
      <w:r>
        <w:rPr>
          <w:b/>
        </w:rPr>
        <w:t>E. 6</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