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VB.2021.00654 vom 22. August 2024</w:t>
      </w:r>
    </w:p>
    <w:p>
      <w:r>
        <w:t>ZH Verwaltungsgericht, 2024-08-22, DE</w:t>
      </w:r>
    </w:p>
    <w:p>
      <w:r>
        <w:rPr>
          <w:b/>
        </w:rPr>
        <w:t xml:space="preserve">Quelle: </w:t>
      </w:r>
      <w:r>
        <w:t>https://mcp.opencaselaw.ch/entscheid/zh_verwaltungsgericht__VB.2021.00654</w:t>
      </w:r>
    </w:p>
    <w:p>
      <w:r>
        <w:t>FR: ZH_VERWALTUNGSGERICHT VB.2021.00654 du 22 août 2024</w:t>
      </w:r>
    </w:p>
    <w:p>
      <w:r>
        <w:t>IT: ZH_VERWALTUNGSGERICHT VB.2021.00654 del 22 agosto 2024</w:t>
      </w:r>
    </w:p>
    <w:p>
      <w:pPr>
        <w:pStyle w:val="Heading2"/>
      </w:pPr>
      <w:r>
        <w:t>Regeste</w:t>
      </w:r>
    </w:p>
    <w:p>
      <w:r>
        <w:t>polizeiliche Meldepflicht | Polizeiliche Meldepflicht: Akzessorische Normenkontrolle von § 5 MERV. [Als im Ausland lebender schweizerischer Staatsangehöriger, welcher sich regelmässig in einer Gemeinde im Kanton Zürich aufhält, wurde der Beschwerdeführer entgegen seines Ersuchens um Eintragung als Wochenaufenthalter mit dem Meldeverhältnis Niederlassung eingetragen.] Das Registerharmonisierungsgesetz (RHG) umschreibt auf bundesrechtlicher Ebene Begriffe wie Niederlassungsgemeinde und Aufenthaltsgemeinde (E. 3.1). Das kantonale Gesetz über das Meldewesen und Einwohnerregister (MERG) übernimmt diese Definitionen mit begrifflicher Modifikation. Die kantonale Verordnung über das Meldewesen und Einwohnerregister (MERV) setzt in § 5 für den Aufenthalt von Schweizer Staatsangehörigen eine Niederlassung in einer Schweizer Gemeinde voraus. Danach soll in Fällen, in denen Schweizer Staatsangehörige Wohnsitz im Ausland und gleichzeitig Aufenthalt in einer Zürcher Gemeinde beanspruchen, die in der meldepolizeilichen Praxis gefestigte Fiktion der Niederlassung in ebendieser Gemeinde gelten (E. 3.2). § 5 MERV verlangt damit eine zusätzliche - auf der Stufe der formellen Gesetze MERG bzw. RHG nicht erwähnte - Voraussetzung für die Begründung eines Aufenthalts ausschliesslich für Schweizer Staatsangehörige und beschränkt ihre Rechte (E. 4.2.2). Gemäss RHG ist die Niederlassungs- oder Aufenthaltsgemeinde bei sämtlichen Personen unabhängig von der Staatsangehörigkeit zu erfassen; § 5 MERV kann sich nicht auf § 11 Abs. 3 MERG stützen. Mangels einer Delegationsnorm im MERG sind die Voraussetzungen der Gesetzesdelegation nicht eingehalten und erweist sich § 5 MERV nicht als gesetzmässig (E. 4.2.3-4). Ohnehin würde eine Norm in der MERV angesichts Art. 36 BV nicht genügen. Die Auslegung des RHG ergibt, dass sich die Fiktion von § 5 MERV als unzulässig erweist (E. 4.3-4). § 5 MERV ist die Anwendung zu versagen, da die Bestimmung gegen übergeordnetes Recht (Art. 24 BV, Art. 3 RHG) verstösst und nicht gesetzmässigzustande gekommen ist (E. 4.5). Da die Akten zur Beurteilung des (Haupt-)Wohnsitzes bzw. der Niederlassung unzureichend sind, ist die Sache zur weiteren Untersuchung und zum Neuentscheid zurückzuweisen (E. 5). Gutheissung. Rückweisung zum Neuentscheid.</w:t>
      </w:r>
    </w:p>
    <w:p>
      <w:pPr>
        <w:pStyle w:val="Heading2"/>
      </w:pPr>
      <w:r>
        <w:t>Erwägungen</w:t>
      </w:r>
    </w:p>
    <w:p>
      <w:r>
        <w:rPr>
          <w:b/>
        </w:rPr>
        <w:t>E. 6</w:t>
      </w:r>
    </w:p>
    <w:p>
      <w:r>
        <w:t>Nach der Rechtsprechung des Bundesgerichts gilt eine Rückweisung mit offenem Prozessausgang in Bezug auf die Kosten- und Entschädigungsregelung als Obsiegen der rechtsmittelführenden Partei – und zwar unabhängig davon, welche Anträge diese gestellt hat (BGr, 28. April 2014, 2C_846/2013, E. 3.2 f.). Die Kosten des Beschwerdeverfahrens sind folglich dem Beschwerdegegner aufzuerlegen (§ 65a Abs. 2 in Verbindung mit § 13 Abs. 2 VRG). Ebenso sind die Kosten des Rekursverfahrens dem Beschwerdegegner aufzuerlegen. Zudem hat der Beschwerdegegner dem Beschwerdeführer eine angemessene Parteientschädigung für das Rekurs- und das Beschwerdeverfahren zu entrichten (§ 17 Abs. 2 VRG). Dem Beschwerdegegner ist bereits angesichts seines Unterliegens keine Parteientschädigung zuzusprechen.</w:t>
      </w:r>
    </w:p>
    <w:p>
      <w:r>
        <w:rPr>
          <w:b/>
        </w:rPr>
        <w:t>E. 7</w:t>
      </w:r>
    </w:p>
    <w:p>
      <w:r>
        <w:t>Der vorliegende Rückweisungsentscheid stellt einen Zwischenentscheid dar (BGE 133 II 409 E. 1.2). Solche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