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VB.2021.00624 vom 25. November 2021</w:t>
      </w:r>
    </w:p>
    <w:p>
      <w:r>
        <w:t>ZH Verwaltungsgericht, 2021-11-25, DE</w:t>
      </w:r>
    </w:p>
    <w:p>
      <w:r>
        <w:rPr>
          <w:b/>
        </w:rPr>
        <w:t xml:space="preserve">Quelle: </w:t>
      </w:r>
      <w:r>
        <w:t>https://mcp.opencaselaw.ch/entscheid/zh_verwaltungsgericht__VB.2021.00624</w:t>
      </w:r>
    </w:p>
    <w:p>
      <w:r>
        <w:t>FR: ZH_VERWALTUNGSGERICHT VB.2021.00624 du 25 novembre 2021</w:t>
      </w:r>
    </w:p>
    <w:p>
      <w:r>
        <w:t>IT: ZH_VERWALTUNGSGERICHT VB.2021.00624 del 25 novembre 2021</w:t>
      </w:r>
    </w:p>
    <w:p>
      <w:pPr>
        <w:pStyle w:val="Heading2"/>
      </w:pPr>
      <w:r>
        <w:t>Regeste</w:t>
      </w:r>
    </w:p>
    <w:p>
      <w:r>
        <w:t>vorübergehende Wegweisung vom Unterricht für vier Wochen | [Parteientschädigung bei Gegenstandslosigkeit] Der Beschwerdeführer 1 wurde für eine Dauer von vier Wochen aus dem Unterricht weggewiesen. Dagegen erhoben er und seine Eltern Rekurs. Der Bezirksrat schrieb das Verfahren zu Recht infolge Gegenstandslosigkeit ab, zumal die vorübergehende Wegweisung aus dem Unterricht zum Entscheidzeitpunkt bereits vorüber war (E. 2). Bezüglich der Zusprechung einer Parteientschädigung im Falle von Gegenstandslosigkeit ist zu berücksichtigen, welche Partei die Gegenstandslosigkeit verursacht hat sowie welche Partei vermutlich obsiegt hätte. Der Bezirksrat verzögerte das Verfahren ungebührlich und liess dadurch das Rekursverfahren gegenstandslos werden. Zudem wären die Chancen der Beschwerdeführenden, im Verfahren zu obsiegen, aufgrund einer Gehörsverletzung und mit Blick auf das Recht auf Grundschulunterricht und die Verhältnismässigkeit intakt gewesen. Der Bezirksrat hätte den anwaltlich vertretenen Beschwerdeführenden eine Parteientschädigung zusprechen müssen (E. 3). Teilweise Gutheissung.</w:t>
      </w:r>
    </w:p>
    <w:p>
      <w:pPr>
        <w:pStyle w:val="Heading2"/>
      </w:pPr>
      <w:r>
        <w:t>Erwägungen</w:t>
      </w:r>
    </w:p>
    <w:p>
      <w:r>
        <w:rPr>
          <w:b/>
        </w:rPr>
        <w:t>E. 4</w:t>
      </w:r>
    </w:p>
    <w:p>
      <w:r>
        <w:t>Ausgangsgemäss sind die Gerichtskosten nach dem Verursacherprinzip dem Bezirksrat aufzuerlegen (§ 65a Abs. 2 in Verbindung mit § 13 Abs. 2 Satz 1 VRG). Den Beschwerdeführenden steht für das Beschwerdeverfahren schon mangels Rechtsvertretung und besonderen Aufwands keine Parteientschädigung zu (§ 17 Abs. 2 VRG). Das Gesuch um unentgeltliche Prozessführung ist zufolge Kostenauflage an den Bezirksrat als gegenstandslos geworden abzuschreiben (§ 16 Abs. 1 VRG). 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