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VB.2021.00611 vom 11. November 2021</w:t>
      </w:r>
    </w:p>
    <w:p>
      <w:r>
        <w:t>ZH Verwaltungsgericht, 2021-11-11, DE</w:t>
      </w:r>
    </w:p>
    <w:p>
      <w:r>
        <w:rPr>
          <w:b/>
        </w:rPr>
        <w:t xml:space="preserve">Quelle: </w:t>
      </w:r>
      <w:r>
        <w:t>https://mcp.opencaselaw.ch/entscheid/zh_verwaltungsgericht__VB.2021.00611</w:t>
      </w:r>
    </w:p>
    <w:p>
      <w:r>
        <w:t>FR: ZH_VERWALTUNGSGERICHT VB.2021.00611 du 11 novembre 2021</w:t>
      </w:r>
    </w:p>
    <w:p>
      <w:r>
        <w:t>IT: ZH_VERWALTUNGSGERICHT VB.2021.00611 del 11 novembre 2021</w:t>
      </w:r>
    </w:p>
    <w:p>
      <w:pPr>
        <w:pStyle w:val="Heading2"/>
      </w:pPr>
      <w:r>
        <w:t>Regeste</w:t>
      </w:r>
    </w:p>
    <w:p>
      <w:r>
        <w:t>Ausschluss vom Präsenzunterricht (Nichteintreten) | Das Recht auf Grundschulunterricht nach Art. 19 BV ist höchstpersönlicher Natur und kann von einem Kind nach Massgabe von Art. 11 Abs. 2 BV auch ohne gesetzliche Vertretung prozessual durchgesetzt werden, wenn dieses in Bezug auf das Wesen des Verfahrens und die dort erhobenen Rügen vernunftgemäss handeln kann. Nachdem Art. 19 BV unmittelbar dem Schutz des Kindes dient, sind dabei nicht allzu hohe Anforderungen an dessen Urteilsfähigkeit zu stellen (E. 3.1). Die Vorinstanz hat der zwölfjährigen Beschwerdeführerin daher zu Unrecht die Prozessfähigkeit abgesprochen (E. 3.2). Darüber hinaus vermochte der Beschwerdeführer aber auch in eigenem Namen Rekurs zu erheben, gestattet die Rechtsprechung den sorgeberechtigten Eltern(teilen) minderjähriger Schülerinnen oder Schüler doch, sich im Verfahren in eigenem Namen auf ein ihrem Kind persönlich zukommendes Recht (wie Art. 19 BV) zu berufen, und muss einem sorgeberechtigten Elternteil diese Befugnis auch bei Uneinigkeit der Eltern zuerkannt werden, wie es bei einem Entscheid der Kindesschutzbehörde in vergleichbaren – nicht Schüler- bzw. Schulbelange betreffenden – Fällen der Fall wäre (E. 3.3). Gutheissung und Rückweisung zum materiellen Entscheid. Abweichende Meinung einer Minderheit der Kammer.</w:t>
      </w:r>
    </w:p>
    <w:p>
      <w:pPr>
        <w:pStyle w:val="Heading2"/>
      </w:pPr>
      <w:r>
        <w:t>Erwägungen</w:t>
      </w:r>
    </w:p>
    <w:p>
      <w:r>
        <w:rPr>
          <w:b/>
        </w:rPr>
        <w:t>E. 4</w:t>
      </w:r>
    </w:p>
    <w:p>
      <w:r>
        <w:t>Nach dem Gesagten ist die Beschwerde gutzuheissen, der Nichteintretensentscheid der Vorinstanz vom 11. August 2021 aufzuheben und die Angelegenheit zur materiellen Behandlung an diese zurückzuweisen. Die Vorinstanz hat der Mutter der Beschwerdeführerin das rechtliche Gehör zu gewähren.</w:t>
      </w:r>
    </w:p>
    <w:p>
      <w:r>
        <w:rPr>
          <w:b/>
        </w:rPr>
        <w:t>E. 5</w:t>
      </w:r>
    </w:p>
    <w:p>
      <w:r>
        <w:t>Ausgangsgemäss wären die Kosten des Beschwerdeverfahrens grundsätzlich der Beschwerdegegnerin aufzuerlegen (§ 13 Abs. 2 Satz 1 teilweise in Verbindung mit § 65a Abs. 2 VRG). Da sie jedoch auf eine Beschwerdebeantwortung verzichtete, rechtfertigt es sich ausnahmsweise, die Gerichtskosten auf die Gerichtskasse zu nehmen. Die Beschwerdegegnerin hat den Beschwerdeführenden antragsgemäss eine angemessene Parteientschädigung für das Beschwerdeverfahren zu bezahlen (§ 17 Abs. 2 VRG), wobei bei der Festlegung der Höhe der Entschädigung zu berücksichtigen ist, dass sich vor Verwaltungsgericht keine materiellen Fragen stellten.</w:t>
      </w:r>
    </w:p>
    <w:p>
      <w:r>
        <w:rPr>
          <w:b/>
        </w:rPr>
        <w:t>E. 6</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 Zu beachten ist zudem, dass letztinstanzliche kantonale Rückweisungsentscheide als Zwischenentscheide im Sinn von Art. 93 BGG zu qualifizieren sind (BGE 138 I 143 E. 1.2, 133 V 477 E. 4.2). Sie sind daher vor Bundesgericht nur direkt anfechtbar, wenn sie einen nicht wiedergutzumachenden Nachteil bewirken können oder wenn die Gutheissung der Beschwerde sofort einen Endentscheid herbeiführen und damit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