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VB.2021.00588 vom 17. März 2022</w:t>
      </w:r>
    </w:p>
    <w:p>
      <w:r>
        <w:t>ZH Verwaltungsgericht, 2022-03-17, DE</w:t>
      </w:r>
    </w:p>
    <w:p>
      <w:r>
        <w:rPr>
          <w:b/>
        </w:rPr>
        <w:t xml:space="preserve">Quelle: </w:t>
      </w:r>
      <w:r>
        <w:t>https://mcp.opencaselaw.ch/entscheid/zh_verwaltungsgericht__VB.2021.00588</w:t>
      </w:r>
    </w:p>
    <w:p>
      <w:r>
        <w:t>FR: ZH_VERWALTUNGSGERICHT VB.2021.00588 du 17 mars 2022</w:t>
      </w:r>
    </w:p>
    <w:p>
      <w:r>
        <w:t>IT: ZH_VERWALTUNGSGERICHT VB.2021.00588 del 17 marzo 2022</w:t>
      </w:r>
    </w:p>
    <w:p>
      <w:pPr>
        <w:pStyle w:val="Heading2"/>
      </w:pPr>
      <w:r>
        <w:t>Regeste</w:t>
      </w:r>
    </w:p>
    <w:p>
      <w:r>
        <w:t>Änderungsverfügung (Nichteintreten) | Erlässt eine Verwaltungsbehörde gestützt auf § 10a lit. b VRG eine unbegründete Anordnung, stellt erst die von den Verfügungsadressaten innert 10 Tagen zu verlangende begründete Anordnung ein zulässiges Anfechtungsobjekt im Sinn von § 19 Abs. 1 lit. a VRG dar. Die Verfügung der Beschwerdegegnerin erging als unbegründete Anordnung, weshalb sie kein zulässiges Anfechtungsobjekt für ein Rekursverfahren darstellt (E. 2).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Gegen diesen Entscheid kann Beschwerde in öffentlich-rechtlichen Angelegenheiten nach Art. 82 ff. des Bundesgerichtsgesetzes vom 17. Juni 2005 (BGG, SR 173.110) erhoben werden, soweit der Streitwert Fr. 15'000.- erreicht (Art. 85 Abs. 1 lit. b BGG). Liegt der Streitwert darunter, so ist die Beschwerde in öffentlich-rechtlichen Angelegenheiten zulässig, wenn sich eine Rechtsfrage von grundsätzlicher Bedeutung stellt (Art. 85 Abs. 2 BGG). Andernfalls steht nur die subsidiäre Verfassungsbeschwerde gemäss Art. 113 ff. BGG offen. Werden beide Rechtsmittel ergriffen, hat dies in der gleichen Rechtsschrift zu geschehen (Art. 119 Abs. 1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