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ZH_VERWALTUNGSGERICHT VB.2021.00573 vom 8. Oktober 2021</w:t>
      </w:r>
    </w:p>
    <w:p>
      <w:r>
        <w:t>ZH Verwaltungsgericht, 2021-10-08, DE</w:t>
      </w:r>
    </w:p>
    <w:p>
      <w:r>
        <w:rPr>
          <w:b/>
        </w:rPr>
        <w:t xml:space="preserve">Quelle: </w:t>
      </w:r>
      <w:r>
        <w:t>https://mcp.opencaselaw.ch/entscheid/zh_verwaltungsgericht__VB.2021.00573</w:t>
      </w:r>
    </w:p>
    <w:p>
      <w:r>
        <w:t>FR: ZH_VERWALTUNGSGERICHT VB.2021.00573 du 8 octobre 2021</w:t>
      </w:r>
    </w:p>
    <w:p>
      <w:r>
        <w:t>IT: ZH_VERWALTUNGSGERICHT VB.2021.00573 del 8 ottobre 2021</w:t>
      </w:r>
    </w:p>
    <w:p>
      <w:pPr>
        <w:pStyle w:val="Heading2"/>
      </w:pPr>
      <w:r>
        <w:t>Regeste</w:t>
      </w:r>
    </w:p>
    <w:p>
      <w:r>
        <w:t>Hundehaltung (Hundehalteverbot, definitive Beschlagnahmung) | Hundehaltung: Nichteintreten mangels Leistung des Kostenvorschusses.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Bei diesem Ausgang sind die Gerichtskosten dem Beschwerdeführer aufzuerlegen (§ 65a Abs. 2 in Verbindung mit § 13 Abs. 2 VRG). Eine Parteientschädigung hat er nicht verlangt und stünde ihm mangels Obsiegens auch nicht zu (§ 17 Abs. 2 VRG).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