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VB.2021.00473 vom 26. März 2021</w:t>
      </w:r>
    </w:p>
    <w:p>
      <w:r>
        <w:t>ZH Verwaltungsgericht, 2021-03-26, DE</w:t>
      </w:r>
    </w:p>
    <w:p>
      <w:r>
        <w:rPr>
          <w:b/>
        </w:rPr>
        <w:t xml:space="preserve">Quelle: </w:t>
      </w:r>
      <w:r>
        <w:t>https://mcp.opencaselaw.ch/entscheid/zh_verwaltungsgericht__VB.2021.00473</w:t>
      </w:r>
    </w:p>
    <w:p>
      <w:r>
        <w:t>FR: ZH_VERWALTUNGSGERICHT VB.2021.00473 du 26 mars 2021</w:t>
      </w:r>
    </w:p>
    <w:p>
      <w:r>
        <w:t>IT: ZH_VERWALTUNGSGERICHT VB.2021.00473 del 26 marzo 2021</w:t>
      </w:r>
    </w:p>
    <w:p>
      <w:pPr>
        <w:pStyle w:val="Heading2"/>
      </w:pPr>
      <w:r>
        <w:t>Regeste</w:t>
      </w:r>
    </w:p>
    <w:p>
      <w:r>
        <w:t>Stimmrechtsbeschwerde | [Stimmrechtsbeschwerde betreffend kommunale Abstimmung Gestaltungsplan Areal Hardturm - Stadion] Die Abstimmungszeitung und die Aktenauflage der Beschwerdegegnerin genügten den Anforderungen gemäss Art. 34 Abs. 2 BV (E. 4.1 f.). Abweisung.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Nach dem Gesagten ist die Beschwerde abzuweisen.</w:t>
      </w:r>
    </w:p>
    <w:p>
      <w:r>
        <w:rPr>
          <w:b/>
        </w:rPr>
        <w:t>E. 6.1</w:t>
      </w:r>
    </w:p>
    <w:p>
      <w:r>
        <w:t>In Stimmrechtssachen werden keine Kosten erhoben, es sei denn, das Rechtsmittel erweise sich als offensichtlich aussichtslos (§ 65a Abs. 2 in Verbindung mit § 13 Abs. 4 VRG). Von einem solchen Fall ist hier nicht auszugehen, weshalb die Verfahrenskosten auf die Gerichtskasse zu nehmen sind.</w:t>
      </w:r>
    </w:p>
    <w:p>
      <w:r>
        <w:rPr>
          <w:b/>
        </w:rPr>
        <w:t>E. 6.2</w:t>
      </w:r>
    </w:p>
    <w:p>
      <w:r>
        <w:t>Dem unterliegenden Beschwerdeführer steht keine Parteientschädigung zu (§ 17 Abs. 2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