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VB.2021.00465 vom 26. August 2021</w:t>
      </w:r>
    </w:p>
    <w:p>
      <w:r>
        <w:t>ZH Verwaltungsgericht, 2021-08-26, DE</w:t>
      </w:r>
    </w:p>
    <w:p>
      <w:r>
        <w:rPr>
          <w:b/>
        </w:rPr>
        <w:t xml:space="preserve">Quelle: </w:t>
      </w:r>
      <w:r>
        <w:t>https://mcp.opencaselaw.ch/entscheid/zh_verwaltungsgericht__VB.2021.00465</w:t>
      </w:r>
    </w:p>
    <w:p>
      <w:r>
        <w:t>FR: ZH_VERWALTUNGSGERICHT VB.2021.00465 du 26 août 2021</w:t>
      </w:r>
    </w:p>
    <w:p>
      <w:r>
        <w:t>IT: ZH_VERWALTUNGSGERICHT VB.2021.00465 del 26 agosto 2021</w:t>
      </w:r>
    </w:p>
    <w:p>
      <w:pPr>
        <w:pStyle w:val="Heading2"/>
      </w:pPr>
      <w:r>
        <w:t>Regeste</w:t>
      </w:r>
    </w:p>
    <w:p>
      <w:r>
        <w:t>Einreise zur Wohnsitznahme | [Die Beschwerdeführenden ersuchen um Erteilung einer Aufenthaltsbewilligung für den Beschwerdeführer, einen jamaikanischen Staatsangehörigen, zur Einreise zum Verbleib bei seiner Konkubinatspartnerin und dem gemeinsamen Sohn.] Die Beschwerdeführenden kennen sich seit knapp eineinhalb Jahren und haben einen gemeinsamen Sohn. Sie führen eine nahe und echte Beziehung, die in ihrer Qualität einer Ehe nahekommt. Unter diesen Umständen liegt ein schutzwürdiges Konkubinat vor, womit der Schutzbereich des Rechts auf Familienleben nach Art. 8 Abs. 1 EMRK bzw. Art. 13 Abs. 1 BV berührt ist (E. 2.2 f.). Insgesamt überwiegen die privaten Interessen der Beschwerdeführenden an einem Aufenthalt des Beschwerdeführers in der Schweiz das öffentliche Interesse an seiner Fernhaltung (E. 2.4 f.). Gutheissung.</w:t>
      </w:r>
    </w:p>
    <w:p>
      <w:pPr>
        <w:pStyle w:val="Heading2"/>
      </w:pPr>
      <w:r>
        <w:t>Erwägungen</w:t>
      </w:r>
    </w:p>
    <w:p>
      <w:r>
        <w:rPr>
          <w:b/>
        </w:rPr>
        <w:t>E. 4</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