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VB.2021.00459 vom 22. August 2019</w:t>
      </w:r>
    </w:p>
    <w:p>
      <w:r>
        <w:t>ZH Verwaltungsgericht, 2019-08-22, DE</w:t>
      </w:r>
    </w:p>
    <w:p>
      <w:r>
        <w:rPr>
          <w:b/>
        </w:rPr>
        <w:t xml:space="preserve">Quelle: </w:t>
      </w:r>
      <w:r>
        <w:t>https://mcp.opencaselaw.ch/entscheid/zh_verwaltungsgericht__VB.2021.00459</w:t>
      </w:r>
    </w:p>
    <w:p>
      <w:r>
        <w:t>FR: ZH_VERWALTUNGSGERICHT VB.2021.00459 du 22 août 2019</w:t>
      </w:r>
    </w:p>
    <w:p>
      <w:r>
        <w:t>IT: ZH_VERWALTUNGSGERICHT VB.2021.00459 del 22 agosto 2019</w:t>
      </w:r>
    </w:p>
    <w:p>
      <w:pPr>
        <w:pStyle w:val="Heading2"/>
      </w:pPr>
      <w:r>
        <w:t>Regeste</w:t>
      </w:r>
    </w:p>
    <w:p>
      <w:r>
        <w:t>Löschung im Anwaltsregister | Löschung im Anwaltsregister. Art. 8 Abs. 1 lit. b BGFA knüpft allein an das Vorliegen einer strafrechtlichen Verurteilung an. Ob die strafrechtliche Verurteilung zu Recht erfolgt ist, entzieht sich mithin der Prüfungszuständigkeit der Beschwerdegegnerin (E. 3.4.1). Eine Verwaltungsbehörde ist grundsätzlich auch an die sachverhaltlichen Feststellungen eines im Strafbefehlsverfahren ergangenen Strafentscheids gebunden. Dies gilt insbesondere dann, wenn der Betroffene weiss oder wissen muss, dass neben dem Strafverfahren ein Administrativverfahren eröffnet wird und er es trotzdem unterlässt oder darauf verzichtet, im Rahmen des Strafverfahrens die ihm garantierten Verteidigungsrechte geltend zu machen. Nach dem Grundsatz von Treu und Glauben muss der Betroffene nämlich allfällige Verteidigungsrechte und Beweisanträge im Strafverfahren vorbringen und dort die nötigen Rechtsmittel ergreifen (E. 3.4.3). Soweit der Beschwerdeführer mit dem Strafbefehl nicht einverstanden war und an seiner Unschuld – insbesondere mit Blick auf das anstehende Disziplinarverfahren – hätte festhalten wollen, wäre er nach Treu und Glauben verpflichtet gewesen, die dagegen zur Verfügung stehenden Rechtsmittel zu ergreifen. Im Übrigen ist der Strafbefehl weder nichtig noch sind die darin getroffenen Feststellungen offensichtlich unrichtig (E. 3.4.4). Es ist nicht zu beanstanden, dass die Beschwerdegegnerin aufgrund des sich aus dem Strafbefehl ergebenden Sachverhalts von nicht mit dem Anwaltsberuf vereinbaren Handlungen des Beschwerdeführers im Sinn von Art. 8 Abs. 1 lit. b BGFA ausging (E. 4.4.3). Abweisung.</w:t>
      </w:r>
    </w:p>
    <w:p>
      <w:pPr>
        <w:pStyle w:val="Heading2"/>
      </w:pPr>
      <w:r>
        <w:t>Erwägungen</w:t>
      </w:r>
    </w:p>
    <w:p>
      <w:r>
        <w:rPr>
          <w:b/>
        </w:rPr>
        <w:t>E. 5</w:t>
      </w:r>
    </w:p>
    <w:p>
      <w:r>
        <w:t>Die Beschwerde erweist sich nach dem Gesagten als unbegründet. Sie ist abzuweisen. Ausgangsgemäss sind die Gerichtskosten dem Beschwerdeführer aufzuerlegen und bleibt ihm eine Parteientschädigung verwehrt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