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VB.2021.00392 vom 3. Februar 2022</w:t>
      </w:r>
    </w:p>
    <w:p>
      <w:r>
        <w:t>ZH Verwaltungsgericht, 2022-02-03, DE</w:t>
      </w:r>
    </w:p>
    <w:p>
      <w:r>
        <w:rPr>
          <w:b/>
        </w:rPr>
        <w:t xml:space="preserve">Quelle: </w:t>
      </w:r>
      <w:r>
        <w:t>https://mcp.opencaselaw.ch/entscheid/zh_verwaltungsgericht__VB.2021.00392</w:t>
      </w:r>
    </w:p>
    <w:p>
      <w:r>
        <w:t>FR: ZH_VERWALTUNGSGERICHT VB.2021.00392 du 3 février 2022</w:t>
      </w:r>
    </w:p>
    <w:p>
      <w:r>
        <w:t>IT: ZH_VERWALTUNGSGERICHT VB.2021.00392 del 3 febbraio 2022</w:t>
      </w:r>
    </w:p>
    <w:p>
      <w:pPr>
        <w:pStyle w:val="Heading2"/>
      </w:pPr>
      <w:r>
        <w:t>Regeste</w:t>
      </w:r>
    </w:p>
    <w:p>
      <w:r>
        <w:t>Löschung als Liquidator | Der Beschwerdeführer ficht die bereits vollzogene Änderung im Handelsregister an; ob überhaupt eine anfechtbare Anordnung vorliegt, ist damit fraglich, kann indes offenbleiben (E. 1.2). Die geltend gemachte Verletzung des Belegprinzips gemäss Art. 929 Abs. 2 OR ist nicht ersichtlich. Die Löschung des Beschwerdeführers aus dem Handelsregister ist zu Recht erfolgt (E. 3). Abweisung.</w:t>
      </w:r>
    </w:p>
    <w:p>
      <w:pPr>
        <w:pStyle w:val="Heading2"/>
      </w:pPr>
      <w:r>
        <w:t>Erwägungen</w:t>
      </w:r>
    </w:p>
    <w:p>
      <w:r>
        <w:rPr>
          <w:b/>
        </w:rPr>
        <w:t>E. 4</w:t>
      </w:r>
    </w:p>
    <w:p>
      <w:r>
        <w:t>Ausgangsgemäss sind die Gerichtskosten dem Beschwerdeführer aufzuerlegen (§ 65a Abs. 2 in Verbindung mit § 13 Abs. 2 VRG) und steht ihm keine Parteientschädigung zu (§ 17 Abs. 2 VRG).</w:t>
      </w:r>
    </w:p>
    <w:p>
      <w:r>
        <w:rPr>
          <w:b/>
        </w:rPr>
        <w:t>E. 5</w:t>
      </w:r>
    </w:p>
    <w:p>
      <w:r>
        <w:t>Zur Rechtsmittelbelehrung des nachstehenden 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sofern sich eine Rechtsfrage von grundsätzlicher Bedeutung stellt. Ansonsten steht bloss die subsidiäre Verfassungsbeschwerde nach Art. 113 ff. BGG zur Verfügung. Wird von beiden Rechtsmitteln Gebrauch gemacht, muss das gemäss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