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VB.2021.00374 vom 3. Dezember 2020</w:t>
      </w:r>
    </w:p>
    <w:p>
      <w:r>
        <w:t>ZH Verwaltungsgericht, 2020-12-03, DE</w:t>
      </w:r>
    </w:p>
    <w:p>
      <w:r>
        <w:rPr>
          <w:b/>
        </w:rPr>
        <w:t xml:space="preserve">Quelle: </w:t>
      </w:r>
      <w:r>
        <w:t>https://mcp.opencaselaw.ch/entscheid/zh_verwaltungsgericht__VB.2021.00374</w:t>
      </w:r>
    </w:p>
    <w:p>
      <w:r>
        <w:t>FR: ZH_VERWALTUNGSGERICHT VB.2021.00374 du 3 décembre 2020</w:t>
      </w:r>
    </w:p>
    <w:p>
      <w:r>
        <w:t>IT: ZH_VERWALTUNGSGERICHT VB.2021.00374 del 3 dicembre 2020</w:t>
      </w:r>
    </w:p>
    <w:p>
      <w:pPr>
        <w:pStyle w:val="Heading2"/>
      </w:pPr>
      <w:r>
        <w:t>Regeste</w:t>
      </w:r>
    </w:p>
    <w:p>
      <w:r>
        <w:t>Umteilung in den Tagdienst | Die Umteilung der Beschwerdeführerin vom Nacht- in den Tagdienst stellt keine anfechtbare Anordnung dar (E. 2.2). Ebenso ist diese Umteilung weder als Persönlichkeitsverletzung noch als (versteckte) disziplinarische Massnahme zu qualifizieren (E. 2.3). Abweisung, soweit darauf einzutreten ist.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Bei personalrechtlichen Streitigkeiten mit einem Streitwert bis Fr. 30'000.- werden keine Gebühren auferlegt (§ 65a Abs. 3 Satz 1 VRG); die Gerichtskosten sind auf die Gerichtskasse zu nehmen. Der unterliegendenen Beschwerdeführerin ist keine Parteientschädigung zuzusprechen (§ 17 Abs. 2 VRG). Der in ihrem amtlichen Wirkungskreis tätig gewordenen Beschwerdegegnerin steht praxisgemäss ebenfalls keine Parteientschädigung zu (VGr, 3. Dezember 2020, VB.2020.00275, E. 10.2).</w:t>
      </w:r>
    </w:p>
    <w:p>
      <w:r>
        <w:rPr>
          <w:b/>
        </w:rPr>
        <w:t>E. 5</w:t>
      </w:r>
    </w:p>
    <w:p>
      <w:r>
        <w:t>Weil der Streitwert Fr. 15'000.- übersteigt, ist als Rechtsmittel die Beschwerde in öffentlich-rechtlichen Angelegenheiten nach Art. 82 ff. des Bundesgerichtsgesetzes vom 17. Juni 2005 (BGG, SR 173.110) gegeben (Art. 85 Abs. 1 lit. b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