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VB.2021.00371 vom 7. Oktober 2021</w:t>
      </w:r>
    </w:p>
    <w:p>
      <w:r>
        <w:t>ZH Verwaltungsgericht, 2021-10-07, DE</w:t>
      </w:r>
    </w:p>
    <w:p>
      <w:r>
        <w:rPr>
          <w:b/>
        </w:rPr>
        <w:t xml:space="preserve">Quelle: </w:t>
      </w:r>
      <w:r>
        <w:t>https://mcp.opencaselaw.ch/entscheid/zh_verwaltungsgericht__VB.2021.00371</w:t>
      </w:r>
    </w:p>
    <w:p>
      <w:r>
        <w:t>FR: ZH_VERWALTUNGSGERICHT VB.2021.00371 du 7 octobre 2021</w:t>
      </w:r>
    </w:p>
    <w:p>
      <w:r>
        <w:t>IT: ZH_VERWALTUNGSGERICHT VB.2021.00371 del 7 ottobre 2021</w:t>
      </w:r>
    </w:p>
    <w:p>
      <w:pPr>
        <w:pStyle w:val="Heading2"/>
      </w:pPr>
      <w:r>
        <w:t>Regeste</w:t>
      </w:r>
    </w:p>
    <w:p>
      <w:r>
        <w:t>Verlängerung der Aufenthaltsbewilligung | [Die Beschwerdeführerin, eine 1997 geborene russische Staatsangehörige, erhielt eine Aufenthaltsbewilligung zum Verbleib bei ihrem Ehemann, einem in der Schweiz aufenthaltsberechtigten russischen Staatsangehörigen.] Die Ehe der Beschwerdeführerin ist definitiv gescheitert, weshalb die Voraussetzungen von Art. 44 Abs. 1 AIG nicht mehr erfüllt sind (E. 3.2). Da ihre Ehe nur rund ein Jahr dauerte und keine wichtigen Gründe im Sinn von Art. 77 Abs. 1 lit. b VZAE vorliegen, ist der Beschwerdeführerin die Aufenthaltsbewilligung nicht zu verlängern (E. 3.3 ff.). Abweisung.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sind die Kosten der Beschwerdeführerin aufzuerlegen (§ 65a Abs. 2 in Verbindung mit § 13 Abs. 2 Satz 1 VRG). Ihr ist sodann keine Parteientschädigung zuzusprechen (§ 17 Abs. 2 VRG).</w:t>
      </w:r>
    </w:p>
    <w:p>
      <w:r>
        <w:rPr>
          <w:b/>
        </w:rPr>
        <w:t>E. 5</w:t>
      </w:r>
    </w:p>
    <w:p>
      <w:r>
        <w:t>Zur Rechtsmittelbelehrung des nachstehenden Dispositivs ist Folgendes zu erläutern: Soweit ein Anwesenheitsanspruch geltend gemacht wird, ist die Beschwerde in öffentlich-rechtlichen Angelegenheiten nach Art. 82 ff. des Bundesgerichtsgesetzes vom 17. Juni 2005 (BGG, SR 173.110) zulässig. Ansonsten steht die subsidiäre Verfassungsbeschwerde gemäss Art. 113 ff. BGG offen (Art. 83 lit. c Ziff. 2 e contrario und Ziff. 4 BGG). Werden beide Rechtsmittel ergriffen, hat dies in der gleichen Rechtsschrift zu geschehen (Art. 119 Abs. 1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