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VB.2021.00362 vom 17. Februar 2022</w:t>
      </w:r>
    </w:p>
    <w:p>
      <w:r>
        <w:t>ZH Verwaltungsgericht, 2022-02-17, DE</w:t>
      </w:r>
    </w:p>
    <w:p>
      <w:r>
        <w:rPr>
          <w:b/>
        </w:rPr>
        <w:t xml:space="preserve">Quelle: </w:t>
      </w:r>
      <w:r>
        <w:t>https://mcp.opencaselaw.ch/entscheid/zh_verwaltungsgericht__VB.2021.00362</w:t>
      </w:r>
    </w:p>
    <w:p>
      <w:r>
        <w:t>FR: ZH_VERWALTUNGSGERICHT VB.2021.00362 du 17 février 2022</w:t>
      </w:r>
    </w:p>
    <w:p>
      <w:r>
        <w:t>IT: ZH_VERWALTUNGSGERICHT VB.2021.00362 del 17 febbraio 2022</w:t>
      </w:r>
    </w:p>
    <w:p>
      <w:pPr>
        <w:pStyle w:val="Heading2"/>
      </w:pPr>
      <w:r>
        <w:t>Regeste</w:t>
      </w:r>
    </w:p>
    <w:p>
      <w:r>
        <w:t>Widerruf der Niederlassungsbewilligung (Rückstufung) | [Die Niederlassungsbewilligung des Beschwerdeführers, eines 1976 geborenen kosovarischen Staatsangehörigen, wurde aufgrund seiner Verschuldung auf eine Aufenthaltsbewilligung rückgestuft.] Der Beschwerdeführer hat öffentlich-rechtliche und privatrechtliche Verpflichtungen mutwillig nicht erfüllt, weshalb die Voraussetzung für eine Rückstufung gegeben ist (E. 3.2 f.). Die Rückstufung erweist sich sodann auch als verhältnismässig (E. 3.4). Abweisung.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Nach dem Gesagten ist die Beschwerde abzuweisen. Ausgangsgemäss sind die Kosten dem Beschwerdeführer aufzuerlegen (§ 65a Abs. 2 in Verbindung mit § 13 Abs. 2 Satz 1 VRG). Ihm ist sodann keine Parteientschädigung zuzusprechen (§ 17 Abs. 2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