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VB.2021.00355 vom 25. November 2021</w:t>
      </w:r>
    </w:p>
    <w:p>
      <w:r>
        <w:t>ZH Verwaltungsgericht, 2021-11-25, DE</w:t>
      </w:r>
    </w:p>
    <w:p>
      <w:r>
        <w:rPr>
          <w:b/>
        </w:rPr>
        <w:t xml:space="preserve">Quelle: </w:t>
      </w:r>
      <w:r>
        <w:t>https://mcp.opencaselaw.ch/entscheid/zh_verwaltungsgericht__VB.2021.00355</w:t>
      </w:r>
    </w:p>
    <w:p>
      <w:r>
        <w:t>FR: ZH_VERWALTUNGSGERICHT VB.2021.00355 du 25 novembre 2021</w:t>
      </w:r>
    </w:p>
    <w:p>
      <w:r>
        <w:t>IT: ZH_VERWALTUNGSGERICHT VB.2021.00355 del 25 novembre 2021</w:t>
      </w:r>
    </w:p>
    <w:p>
      <w:pPr>
        <w:pStyle w:val="Heading2"/>
      </w:pPr>
      <w:r>
        <w:t>Regeste</w:t>
      </w:r>
    </w:p>
    <w:p>
      <w:r>
        <w:t>Widerruf der Niederlassungsbewilligung / Rückstufung | [Die Niederlassungsbewilligung der Beschwerdeführerin, einer 1968 geborenen türkischen Staatsangehörigen, wurde aufgrund ihres Sozialhilfebezugs auf eine Aufenthaltsbewilligung rückgestuft.] Die Beschwerdeführerin erfüllt den Widerrufsgrund von Art. 63 Abs. 1 lit. c AIG (E. 3.1). Die Rückstufung erweist sich als unverhältnismässig (E. 3.2). Die Beschwerdeführerin ist zu verwarnen. Gegenstandslosigkeit UP/Gutheissung URB. Gutheissung.</w:t>
      </w:r>
    </w:p>
    <w:p>
      <w:pPr>
        <w:pStyle w:val="Heading2"/>
      </w:pPr>
      <w:r>
        <w:t>Erwägungen</w:t>
      </w:r>
    </w:p>
    <w:p>
      <w:r>
        <w:rPr>
          <w:b/>
        </w:rPr>
        <w:t>E. 4</w:t>
      </w:r>
    </w:p>
    <w:p>
      <w:r>
        <w:t>Somit ist die Beschwerdeführerin in Gutheissung ihrer Beschwerde nach Art. 96 Abs. 2 AIG zu verwarnen unter der Androhung, dass der Widerruf ihrer Niederlassungsbewilligung unter gleichzeitiger Wegweisung (Art. 63 Abs. 1 lit. c AIG) oder Erteilung einer Aufenthaltsbewilligung (Art. 63 Abs. 2 AIG) geprüft und gegebenenfalls angeordnet wird, sollten sich unter Berücksichtigung ihrer persönlichen Umstände ihre Arbeitsintegrationsbemühungen wesentlich verschlechtern. Bei diesem Verfahrensausgang kann auf die beantragte Einholung eines Gutachtens zur Beurteilung des Bildungsstands der Beschwerdeführerin verzichtet werden.</w:t>
      </w:r>
    </w:p>
    <w:p>
      <w:r>
        <w:rPr>
          <w:b/>
        </w:rPr>
        <w:t>E. 5.1</w:t>
      </w:r>
    </w:p>
    <w:p>
      <w:r>
        <w:t>Ausgangsgemäss sind die Kosten des Rekurs- und des Beschwerdeverfahrens dem Beschwerdegegner aufzuerlegen (§ 13 Abs. 2 Satz 1 teilweise in Verbindung mit § 65a Abs. 2 VRG). Desgleichen hat dieser dem Rechtsvertreter der Beschwerdeführerin eine angemessene Parteientschädigung von Fr. 2'000.- zzgl. Mehrwertsteuer für das Rekurs- und Fr. 1'500.- zzgl. Mehrwertsteuer für das Beschwerdeverfahren zu bezahlen (§ 17 Abs. 2 lit. a VRG).</w:t>
      </w:r>
    </w:p>
    <w:p>
      <w:r>
        <w:rPr>
          <w:b/>
        </w:rPr>
        <w:t>E. 5.2</w:t>
      </w:r>
    </w:p>
    <w:p>
      <w:r>
        <w:t>Die Beschwerdeführerin ersucht wie bereits vor der Vorinstanz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Durch die Kostenbelastung des Beschwerdegegners werden die Gesuche um unentgeltliche Prozessführung für das Rekurs- und das Beschwerdeverfahren gegenstandslos. Die Beschwerdeführerin ist offenkundig mittellos, die Rechtsmittelerhebung war begründet, und die Rechtsvertretung erweist sich angesichts der sich stellenden Rechtsfragen als notwendig. Demnach ist der Beschwerdeführerin die unentgeltliche Rechtsverbeiständung für das Rekurs- und das Beschwerdeverfahren zu gewähren und ihr in der Person von Rechtsanwalt B ein unentgeltlicher Rechtsbeistand für das Rekurs- und das Beschwerdeverfahren beizugeben. Zur Festlegung der Entschädigung für das Rekursverfahren ist die Sache an die Vorinstanz zurückzuweisen.</w:t>
      </w:r>
    </w:p>
    <w:p>
      <w:r>
        <w:rPr>
          <w:b/>
        </w:rPr>
        <w:t>E. 5.3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Der Rechtsvertreter der Beschwerdeführerin macht für das Beschwerdeverfahren insgesamt einen Aufwand von 6 Stunden und 40 Minuten sowie Spesen im Betrag von Fr. 44.- geltend. Dieser Aufwand erscheint angemessen. Der Rechtsvertreter ist demnach für das verwaltungsgerichtliche Verfahren mit insgesamt Fr. 1'627.- (inkl. Mehrwertsteuer) zu entschädigen. Nach der Anrechnung der Parteientschädigung für das Beschwerdeverfahren von Fr. 1'615.50 (inkl. Mehrwertsteuer) verbleibt ein aus der Gerichtskasse auszurichtender Betrag von Fr. 11.50 (inkl. Mehrwertsteuer).</w:t>
      </w:r>
    </w:p>
    <w:p>
      <w:r>
        <w:rPr>
          <w:b/>
        </w:rPr>
        <w:t>E. 5.4</w:t>
      </w:r>
    </w:p>
    <w:p>
      <w:r>
        <w:t>Abschliessend gilt es die Beschwerdeführerin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