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VB.2021.00322 vom 8. Juli 2021</w:t>
      </w:r>
    </w:p>
    <w:p>
      <w:r>
        <w:t>ZH Verwaltungsgericht, 2021-07-08, DE</w:t>
      </w:r>
    </w:p>
    <w:p>
      <w:r>
        <w:rPr>
          <w:b/>
        </w:rPr>
        <w:t xml:space="preserve">Quelle: </w:t>
      </w:r>
      <w:r>
        <w:t>https://mcp.opencaselaw.ch/entscheid/zh_verwaltungsgericht__VB.2021.00322</w:t>
      </w:r>
    </w:p>
    <w:p>
      <w:r>
        <w:t>FR: ZH_VERWALTUNGSGERICHT VB.2021.00322 du 8 juillet 2021</w:t>
      </w:r>
    </w:p>
    <w:p>
      <w:r>
        <w:t>IT: ZH_VERWALTUNGSGERICHT VB.2021.00322 del 8 luglio 2021</w:t>
      </w:r>
    </w:p>
    <w:p>
      <w:pPr>
        <w:pStyle w:val="Heading2"/>
      </w:pPr>
      <w:r>
        <w:t>Regeste</w:t>
      </w:r>
    </w:p>
    <w:p>
      <w:r>
        <w:t>arbeitsmarktlicher Vorentscheid | Weder aus der vorinstanzlichen Verfügung noch aus derjenigen des Beschwerdegegners geht hervor, welche (weiteren) Suchbemühungen von der Beschwerdeführerin konkret erwartet worden wären. Die Verneinung hinreichender Suchbemühungen kann nicht allein darauf gestützt werden, dass die Beschwerdeführerin vor Vertragsabschluss nicht erneut eine Ausschreibung auf EURES veranlasste. Insgesamt kann somit nicht gesagt werden, die Beschwerdeführerin habe keine echten Suchbemühungen unternommen (E. 2.4). Da die Vorinstanz die weiteren Voraussetzungen von Art. 18 AIG, insbesondere diejenigen von Art. 23 AIG, nicht geprüft hat, ist die Sache zu deren Prüfung und zu neuem Entscheid an die Vorinstanz zurückzuweisen (E. 2.5). Teilweise Gutheissung und Rückweisung.</w:t>
      </w:r>
    </w:p>
    <w:p>
      <w:pPr>
        <w:pStyle w:val="Heading2"/>
      </w:pPr>
      <w:r>
        <w:t>Erwägungen</w:t>
      </w:r>
    </w:p>
    <w:p>
      <w:r>
        <w:rPr>
          <w:b/>
        </w:rPr>
        <w:t>E. 4</w:t>
      </w:r>
    </w:p>
    <w:p>
      <w:r>
        <w:t>Die Rückweisung zur erneuten Entscheidung bei offenem Ausgang ist in Bezug auf dieRegelung der Nebenfolgen grundsätzlich als Obsiegen zu behandeln, wenn die Rechtsmittelinstanz reformatorisch oder kassatorisch entscheiden kann (BGr, 28. April 2014, 2C_846/2013, E. 3.2 f. mit Hinweisen; Marco Donatsch, in: Alain Griffel [Hrsg.], Kommentar zum Verwaltungsrechtspflegegesetz des Kantons Zürich [VRG], 3. A., Zürich etc. 2014 [Kommentar VRG], § 64 N. 5). Demgemäss sind die Kosten dem Beschwerdegegner aufzuerlegen (§ 65a Abs. 2 in Verbindung mit § 13 Abs. 2 Satz 1 VRG).</w:t>
      </w:r>
    </w:p>
    <w:p>
      <w:r>
        <w:rPr>
          <w:b/>
        </w:rPr>
        <w:t>E. 5</w:t>
      </w:r>
    </w:p>
    <w:p>
      <w:r>
        <w:t>Zur Rechtsmittelbelehrung des nachstehenden Dispositivs ist Folgendes zu erläutern: Letztinstanzliche kantonale Rückweisungsentscheide sind als Zwischenentscheide im Sinn von Art. 93 des Bundesgerichtsgesetzes vom 17. Juni 2005 (BGG, SR 173.110) zu qualifizieren (BGE 138 I 143 E. 1.2,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Soweit hinsichtlich Erwerbstätigkeit ein Bewilligungsanspruch geltend gemacht werden kann, lässt sich Beschwerde in öffentlich-rechtlichen Angelegenheiten nach Art. 82 ff. BGG erheben (vgl. Art. 83 lit. c Ziff. 2 BGG). Ansonsten kommt bloss die subsidiäre Verfassungsbeschwerde gemäss Art. 113 ff. BGG in Betracht. Werden beide Rechtsmittel ergriffen, muss dies laut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