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VB.2021.00304 vom 25. Mai 2021</w:t>
      </w:r>
    </w:p>
    <w:p>
      <w:r>
        <w:t>ZH Verwaltungsgericht, 2021-05-25, DE</w:t>
      </w:r>
    </w:p>
    <w:p>
      <w:r>
        <w:rPr>
          <w:b/>
        </w:rPr>
        <w:t xml:space="preserve">Quelle: </w:t>
      </w:r>
      <w:r>
        <w:t>https://mcp.opencaselaw.ch/entscheid/zh_verwaltungsgericht__VB.2021.00304</w:t>
      </w:r>
    </w:p>
    <w:p>
      <w:r>
        <w:t>FR: ZH_VERWALTUNGSGERICHT VB.2021.00304 du 25 mai 2021</w:t>
      </w:r>
    </w:p>
    <w:p>
      <w:r>
        <w:t>IT: ZH_VERWALTUNGSGERICHT VB.2021.00304 del 25 maggio 2021</w:t>
      </w:r>
    </w:p>
    <w:p>
      <w:pPr>
        <w:pStyle w:val="Heading2"/>
      </w:pPr>
      <w:r>
        <w:t>Regeste</w:t>
      </w:r>
    </w:p>
    <w:p>
      <w:r>
        <w:t>Verlängerung Durchsetzungshaft (GI210031-L) | Durchsetzungshaft; Verhältnismässigkeit. 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(E. 3.2). Die irakische Regierung akzeptiert die zwangsweise Rückführung von irakischen Staatsangehörigen nur, wenn diese in den jeweiligen Gastländern erheblich straffällig geworden sind. Da der Beschwerdeführer nicht zu dieser Gruppe gehört, ist nur seine freiwillige Rückkehr möglich (E. 3.4). Dass der Beschwerdeführer sich bisher konsequent geweigert hat, in sein Heimatland zurückzukehren, kann nicht dazu führen, dass die Durchsetzungshaft nicht mehr geeignet wäre, dieses Ziel zu erreichen; die Haft könnte sonst umso weniger angeordnet werden, je renitenter sich die betroffene Person verhält und je stärker sie versucht, ihre Ausschaffung zu hintertreiben (E. 4.2). Die Haft erweist sich als verhältnismässig (E. 4.3). Abweisung.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ist irakischer Staatsangehöriger, reiste am 8. Januar 2006 in die Schweiz ein und stellte am 10. Januar 2006 ein Asylgesuch. Das Asylgesuch wurde am 10. Februar 2006 abgelehnt, wobei die Wegweisung wegen Unzumutbarkeit nicht vollzogen und gleichzeitig eine vorläufige Aufnahme verfügt wurde. Mit rechtskräftiger Verfügung vom 22. April 2008 hob das Bundesamt für Migration (heute Staatssekretariat für Migration) die vorläufige Aufnahme auf und verfügte den Vollzug der Wegweisung.</w:t>
      </w:r>
    </w:p>
    <w:p>
      <w:r>
        <w:rPr>
          <w:b/>
        </w:rPr>
        <w:t>E. 3.1</w:t>
      </w:r>
    </w:p>
    <w:p>
      <w:r>
        <w:t>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 Die Durchsetzungshaft kann für einen Monat angeordnet werden. Ist die betroffene Person weiterhin nicht bereit, ihr Verhalten zu ändern und auszureisen, kann die Haft mit Zustimmung der zuständigen kantonalen richterlichen Behörde jeweils um zwei Monate verlängert werden (Art. 78 Abs. 2 AIG).</w:t>
      </w:r>
    </w:p>
    <w:p>
      <w:r>
        <w:rPr>
          <w:b/>
        </w:rPr>
        <w:t>E. 3.2</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(BGE 140 II 409 E. 2.1; 133 II 97 E. 2.2). Die Voraussetzungen für eine Durchsetzungshaft sind typischerweise dann gegeben, wenn ein Ausländer trotz vorhandener Reisepapiere nicht ausgeschafft werden kann, weil sich Rückführungen in das betreffende Land ohne Einverständnis des Betroffenen nicht durchführen lassen. Bei diesen Umständen soll sie den Ausländer zur freiwilligen Ausreise bewegen. Die Durchsetzungshaft kann aber auch dazu dienen, einen ausreisepflichtigen Ausländer zur Mitwirkung bei der Beschaffung von Papieren oder zur Bestimmung seiner Identität zu zwingen (BGr, 6. November 2007, 2C_411/2007, E. 2.2 mit Hinweisen). Dabei muss der Grund für die Undurchführbarkeit des Wegweisungsvollzugs im persönlichen Verhalten der ausländischen Person liegen (Martin Businger, Ausländerrechtliche Haft, Zürich etc. 2015, S. 199).</w:t>
      </w:r>
    </w:p>
    <w:p>
      <w:r>
        <w:rPr>
          <w:b/>
        </w:rPr>
        <w:t>E. 3.3</w:t>
      </w:r>
    </w:p>
    <w:p>
      <w:r>
        <w:t>Gegen den Beschwerdeführer liegt ein rechtskräftiger Wegweisungsentscheid vor (Entscheid des Bundesamts für Migration vom 22. April 2008).</w:t>
      </w:r>
    </w:p>
    <w:p>
      <w:r>
        <w:rPr>
          <w:b/>
        </w:rPr>
        <w:t>E. 3.4</w:t>
      </w:r>
    </w:p>
    <w:p>
      <w:r>
        <w:t>Der Beschwerdeführer ist im Besitz von Reisepapieren und hat sich bisher konsequent geweigert, in seine Heimat Irak zurückzukehren. Gemäss den Angaben des Staatssekretariats für Migration (SEM) akzeptiert die irakische Regierung die zwangsweise Rückführung von irakischen Staatsangehörigen nur, wenn diese in den jeweiligen Gastländern erheblich straffällig geworden sind. Da der Beschwerdeführer nicht zu dieser Gruppe gehört, ist nur seine freiwillige Rückkehr möglich. Somit scheitert der Vollzug der Wegweisung einzig an seinem unkooperativen Verhalten.</w:t>
      </w:r>
    </w:p>
    <w:p>
      <w:r>
        <w:rPr>
          <w:b/>
        </w:rPr>
        <w:t>E. 4</w:t>
      </w:r>
    </w:p>
    <w:p>
      <w:r>
        <w:t>Der Beschwerdeführer zieht die Verhältnismässigkeit der Durchsetzungshaft, namentlich die Geeignetheit und Zumutbarkeit in Zweifel.</w:t>
      </w:r>
    </w:p>
    <w:p>
      <w:r>
        <w:rPr>
          <w:b/>
        </w:rPr>
        <w:t>E. 4.1</w:t>
      </w:r>
    </w:p>
    <w:p>
      <w:r>
        <w:t>Der Beschwerdeführer war mehrfach eingegrenzt, ohne dass er seiner Ausreisepflicht nachgekommen wäre. Folglich durften mildere Mittel als ausgeschöpft betrachtet werden (vgl. VGr, 11. Dezember 2018, VB.2018.00738, VB.2018.00739, E. 3.6).</w:t>
      </w:r>
    </w:p>
    <w:p>
      <w:r>
        <w:rPr>
          <w:b/>
        </w:rPr>
        <w:t>E. 4.2</w:t>
      </w:r>
    </w:p>
    <w:p>
      <w:r>
        <w:t>Der Beschwerdeführer macht geltend, der Kanton Zürich hätte bereits verschiedentlich versucht, ihn zur Ausreise zu bewegen, jedoch ohne Erfolg. Er werde auch in Zukunft nicht in den Irak ausreisen, da ihm dort Blutrache drohe. Es kann im jetzigen Zeitpunkt nicht mit hinreichender Wahrscheinlichkeit ausgeschlossen werden, dass sich der Beschwerdeführer während der verbleibenden möglichen Haftdauer doch noch eines anderen besinnen wird (vgl. BGr, 7. August 2015, 2C_630/2015, E. 2.2 mit Hinweis; VGr, 10. März 2020, VB.2020.00083, E. 4.4.2). Dass der Beschwerdeführer sich bisher konsequent geweigert hat, in sein Heimatland zurückzukehren, kann nicht dazu führen, dass die Durchsetzungshaft nicht mehr geeignet wäre, dieses Ziel zu erreichen; die Haft könnte sonst umso weniger angeordnet werden, je renitenter sich die betroffene Person verhält und je stärker sie versucht, ihre Ausschaffung zu hintertreiben (BGE 134 I 92 E. 2.3.2). Zudem hat der Beschwerdeführer angegeben, dass er freiwillig in den Irak zurückkehren würde, wenn die Gefahr der Blutrache nicht mehr bestehen würde. Demgemäss erweist sich die Durchführungshaft weiterhin als geeignet.</w:t>
      </w:r>
    </w:p>
    <w:p>
      <w:r>
        <w:rPr>
          <w:b/>
        </w:rPr>
        <w:t>E. 4.3</w:t>
      </w:r>
    </w:p>
    <w:p>
      <w:r>
        <w:t>Das öffentliche Interesse an der Ausschaffung des Beschwerdeführers und damit an der Aufrechterhaltung der Haft im Interesse der öffentlichen Sicherheit und der Durchsetzung des Rechts erweist sich als durchschnittlich. So liegen gegen den Beschwerdeführer einzig Verurteilungen vor betreffend Widerhandlungen wegen unrechtmässigen Aufenthalts und Missachtung der Eingrenzung. Allerdings ist der Beschwerdeführer bereits mehrfach untergetaucht und besteht auch weiterhin Untertauchensgefahr. Sodann hat die Beschwerdegegnerin den Beschwerdeführer bereits zwei Mal eingegrenzt und diverse Ausreisegespräche geführt, sodass lediglich noch die Durchsetzungshaft als Zwangsmassnahme Erfolg versprechen könnte. Die Interessen des Beschwerdeführers an seiner Freiheit sind zwar ebenfalls gegeben, vermögen aber die öffentlichen Interessen an der Durchsetzung des Rechts nicht zu überwiegen. Die Dauer der Durchsetzungshaft erweist sich dabei insbesondere im Hinblick auf die vielfältigen Bemühungen der Beschwerdegegnerin noch als verhältnismässig. Dass eine Eingrenzung des Beschwerdeführers wegen Unverhältnismässigkeit aufgehoben wurde, hat dabei keinen Einfluss auf die vorliegende Verhältnismässigkeitsprüfung. Weitere Umstände, welche die Durchsetzungshaft als unverhältnismässig erscheinen lassen, sind weder ersichtlich, noch werden sie vom Beschwerdeführer behauptet. Demgemäss ist die Beschwerde abzuweisen.</w:t>
      </w:r>
    </w:p>
    <w:p>
      <w:r>
        <w:rPr>
          <w:b/>
        </w:rPr>
        <w:t>E. 5.1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w:t>
      </w:r>
    </w:p>
    <w:p>
      <w:r>
        <w:rPr>
          <w:b/>
        </w:rPr>
        <w:t>E. 5.2</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und dem Beschwerdeführer Rechtsanwältin B als unentgeltliche Rechtsvertreterin zu bestellen. Der Rechtsvertreterin ist Frist zur Einreichung der Honorarnote anzusetzen.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