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VB.2021.00290 vom 3. Dezember 2020</w:t>
      </w:r>
    </w:p>
    <w:p>
      <w:r>
        <w:t>ZH Verwaltungsgericht, 2020-12-03, DE</w:t>
      </w:r>
    </w:p>
    <w:p>
      <w:r>
        <w:rPr>
          <w:b/>
        </w:rPr>
        <w:t xml:space="preserve">Quelle: </w:t>
      </w:r>
      <w:r>
        <w:t>https://mcp.opencaselaw.ch/entscheid/zh_verwaltungsgericht__VB.2021.00290</w:t>
      </w:r>
    </w:p>
    <w:p>
      <w:r>
        <w:t>FR: ZH_VERWALTUNGSGERICHT VB.2021.00290 du 3 décembre 2020</w:t>
      </w:r>
    </w:p>
    <w:p>
      <w:r>
        <w:t>IT: ZH_VERWALTUNGSGERICHT VB.2021.00290 del 3 dicembre 2020</w:t>
      </w:r>
    </w:p>
    <w:p>
      <w:pPr>
        <w:pStyle w:val="Heading2"/>
      </w:pPr>
      <w:r>
        <w:t>Regeste</w:t>
      </w:r>
    </w:p>
    <w:p>
      <w:r>
        <w:t>Kündigung während der Probezeit | [Der Beschwerdeführer war beim Beschwerdegegner als Sterilisationsassistent angestellt. Aufgrund mangelhafter Leistungen wurde das Anstellugnsverhältnis während der Probezeit aufgelöst.] Der Beschwerdegegner hat hinreichend dargetan, dass die Leistungen des Beschwerdeführers mangelhaft waren und damit ein hinreichender Grund für die Auflösung des Anstellungsverhältnisses während der Probezeit gegeben war (E. 2). Der Anspruch des Beschwerdeführers auf rechtliches Gehör wurde verletzt, weil er keine Gelegenheit hatte, sich vor der Kündigungsverfügung zum Fehlerprotokoll zu äussern. Eine Entschädigung steht ihm jedoch nicht zu, da die Gehörsverletzung nicht genügend schwer wiegt (E. 3). Abweisung.</w:t>
      </w:r>
    </w:p>
    <w:p>
      <w:pPr>
        <w:pStyle w:val="Heading2"/>
      </w:pPr>
      <w:r>
        <w:t>Erwägungen</w:t>
      </w:r>
    </w:p>
    <w:p>
      <w:r>
        <w:rPr>
          <w:b/>
        </w:rPr>
        <w:t>E. 4</w:t>
      </w:r>
    </w:p>
    <w:p>
      <w:r>
        <w:t>Nach dem Gesagten ist die Beschwerde abzuweisen.</w:t>
      </w:r>
    </w:p>
    <w:p>
      <w:r>
        <w:rPr>
          <w:b/>
        </w:rPr>
        <w:t>E. 5.1</w:t>
      </w:r>
    </w:p>
    <w:p>
      <w:r>
        <w:t>Weil der Streitwert weniger als Fr. 30'000.- beträgt, sind die Gerichtskosten auf die Gerichtskasse zu nehmen (§ 65a Abs. 3 Satz 1 VRG).</w:t>
      </w:r>
    </w:p>
    <w:p>
      <w:r>
        <w:rPr>
          <w:b/>
        </w:rPr>
        <w:t>E. 5.2</w:t>
      </w:r>
    </w:p>
    <w:p>
      <w:r>
        <w:t>Dem unterliegenden Beschwerdeführer ist keine Parteientschädigung zuzusprechen (§ 17 Abs. 2 VRG). Dem in seinem amtlichen Wirkungskreis tätig gewordenen Beschwerdegegner steht praxisgemäss ebenfalls keine Parteientschädigung zu (VGr, 3. Dezember 2020, VB.2020.00275, E. 10.2).</w:t>
      </w:r>
    </w:p>
    <w:p>
      <w:r>
        <w:rPr>
          <w:b/>
        </w:rPr>
        <w:t>E. 6</w:t>
      </w:r>
    </w:p>
    <w:p>
      <w:r>
        <w:t>Weil der Streitwert weniger als Fr. 15'000.- beträgt (vorne E. 1.2),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