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VB.2021.00244 vom 2. November 2012</w:t>
      </w:r>
    </w:p>
    <w:p>
      <w:r>
        <w:t>ZH Verwaltungsgericht, 2012-11-02, DE</w:t>
      </w:r>
    </w:p>
    <w:p>
      <w:r>
        <w:rPr>
          <w:b/>
        </w:rPr>
        <w:t xml:space="preserve">Quelle: </w:t>
      </w:r>
      <w:r>
        <w:t>https://mcp.opencaselaw.ch/entscheid/zh_verwaltungsgericht__VB.2021.00244</w:t>
      </w:r>
    </w:p>
    <w:p>
      <w:r>
        <w:t>FR: ZH_VERWALTUNGSGERICHT VB.2021.00244 du 2 novembre 2012</w:t>
      </w:r>
    </w:p>
    <w:p>
      <w:r>
        <w:t>IT: ZH_VERWALTUNGSGERICHT VB.2021.00244 del 2 novembre 2012</w:t>
      </w:r>
    </w:p>
    <w:p>
      <w:pPr>
        <w:pStyle w:val="Heading2"/>
      </w:pPr>
      <w:r>
        <w:t>Regeste</w:t>
      </w:r>
    </w:p>
    <w:p>
      <w:r>
        <w:t>Strafvollzug | Strafvollzug: Nichteintreten aufgrund nicht erfolgter Leistung des Kostenvorschusses.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sind die Gerichtskosten der Beschwerdeführerin aufzuerlegen (§ 65a Abs. 2 in Verbindung mit § 13 Abs. 2 VRG). Eine Parteientschädigung hat sie nicht verlangt und stünde ihr mangels Obsiegens auch nicht zu (§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