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VB.2021.00229 vom 25. November 2021</w:t>
      </w:r>
    </w:p>
    <w:p>
      <w:r>
        <w:t>ZH Verwaltungsgericht, 2021-11-25, DE</w:t>
      </w:r>
    </w:p>
    <w:p>
      <w:r>
        <w:rPr>
          <w:b/>
        </w:rPr>
        <w:t xml:space="preserve">Quelle: </w:t>
      </w:r>
      <w:r>
        <w:t>https://mcp.opencaselaw.ch/entscheid/zh_verwaltungsgericht__VB.2021.00229</w:t>
      </w:r>
    </w:p>
    <w:p>
      <w:r>
        <w:t>FR: ZH_VERWALTUNGSGERICHT VB.2021.00229 du 25 novembre 2021</w:t>
      </w:r>
    </w:p>
    <w:p>
      <w:r>
        <w:t>IT: ZH_VERWALTUNGSGERICHT VB.2021.00229 del 25 novembre 2021</w:t>
      </w:r>
    </w:p>
    <w:p>
      <w:pPr>
        <w:pStyle w:val="Heading2"/>
      </w:pPr>
      <w:r>
        <w:t>Regeste</w:t>
      </w:r>
    </w:p>
    <w:p>
      <w:r>
        <w:t>Submission | Berücksichtigung interner Mehrkosten. Damit Angebotspreise vergleichbar sind, hat die Vergabestelle erstens die zu erbringenden Leistungen qualitativ und quantitativ ausreichend zu definieren und zu beschreiben. Die Vergabestelle hat zweitens in den Ausschreibungsunterlagen verständliche Angaben zur Art des anzubietenden Preises zu machen und festzulegen, wie die einzelnen Leistungen anzubieten sind, damit die Angebote verglichen werden können. Die Berücksichtigung interner Mehrkosten, sogenannter Einführungskosten, aufseiten der Vergabestelle ist nicht per se ausgeschlossen, mit Blick auf das Gleichbehandlungsgebot aber auch nicht ganz unproblematisch. Dementsprechend wird auch vorausgesetzt, dass die Vergabestelle vorab in der Ausschreibung transparent aufzeigt, welche internen Kosten sie wie in die Bewertung einbeziehen wird (E. 3.2). Es findet sich in den Ausschreibungsunterlagen kein Hinweis, dass weitere, insbesondere auch interne Mehrkosten des Beschwerdegegners bei der Preisbewertung berücksichtigt würden. Die Berücksichtigung interner Mehrkosten zusätzlich zu diesen abschliessend aufgezählten erwähnten Preispositionen ohne Hinweis in den Ausschreibungsunterlagen ist aber nachträglich nicht mehr zulässig (E. 3.3).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(vgl. BGE 141 II 14 E. 4.9).</w:t>
      </w:r>
    </w:p>
    <w:p>
      <w:r>
        <w:rPr>
          <w:b/>
        </w:rPr>
        <w:t>E. 2.2</w:t>
      </w:r>
    </w:p>
    <w:p>
      <w:r>
        <w:t>Die zweitplatzierte Beschwerdeführerin hat im Vergabeverfahren das betragsmässig tiefste Angebot eingereicht. Sie rügt die Bereinigung der Angebotspreise sowie die Bewertung ihres Angebots im Zuschlagskriterium ''Qualität und Lösungskonzept'' als zu tief und macht geltend, mit einer korrekten Bewertung oder ohne Preisbereinigung würde sie insgesamt eine höhere Punktzahl als die Mitbeteiligte erzielen. Erweisen sich die Rügen als berechtigt, hätte ihr Angebot eine realistische Chance auf den Zuschlag. Folglich ist ihre Beschwerdelegitimation zu bejahen. Die weiteren Sachurteilsvoraussetzungen sind ebenfalls erfüllt.</w:t>
      </w:r>
    </w:p>
    <w:p>
      <w:r>
        <w:rPr>
          <w:b/>
        </w:rPr>
        <w:t>E. 3.1</w:t>
      </w:r>
    </w:p>
    <w:p>
      <w:r>
        <w:t>Die Beschwerdeführerin rügt, ihr Angebot hätte nicht mit dem internen Aufwand, welchen der Beschwerdegegner geltend macht, bereinigt werden dürfen. Sodann sei ein solcher auch höchstens im Umfang von zehn Tagen gegeben.</w:t>
      </w:r>
    </w:p>
    <w:p>
      <w:r>
        <w:rPr>
          <w:b/>
        </w:rPr>
        <w:t>E. 3.2</w:t>
      </w:r>
    </w:p>
    <w:p>
      <w:r>
        <w:t>Damit Angebotspreise vergleichbar sind, hat die Vergabestelle erstens die zu erbringenden Leistungen qualitativ und quantitativ ausreichend zu definieren und zu beschreiben. Die Vergabestelle hat zweitens in den Ausschreibungsunterlagen verständliche Angaben zur Art des anzubietenden Preises zu machen und festzulegen, wie die einzelnen Leistungen anzubieten sind, damit die Angebote verglichen werden können. Ausgangspunkt dabei ist die spätere Vertragsgestaltung und das dabei vorgesehene Vergütungsmodell. Regelungen der Vergabestelle zur Preisgestaltung der Anbieter sind notwendig, damit die Angebote vergleichbar sind (Claudia Schneider Heusi, Die Bewertung des Preises in: Aktuelles Vergaberecht, Zürich/Basel/Genf 2018, S. 333 Rz. 20 f.). Die Berücksichtigung interner Mehrkosten, sogenannter Einführungskosten, aufseiten der Vergabestelle ist nicht per se ausgeschlossen, mit Blick auf das Gleichbehandlungsgebot aber auch nicht ganz unproblematisch. Dementsprechend wird auch vorausgesetzt, dass die Vergabestelle vorab in der Ausschreibung transparent aufzeigt, welche internen Kosten sie wie in die Bewertung einbeziehen wird (vgl. Schneider Heusi, Rz. 16; VGr, 14. Mai 2020, VB.2019.00562, E. 6.3.2).</w:t>
      </w:r>
    </w:p>
    <w:p>
      <w:r>
        <w:rPr>
          <w:b/>
        </w:rPr>
        <w:t>E. 3.3</w:t>
      </w:r>
    </w:p>
    <w:p>
      <w:r>
        <w:t>Als Zuschlagskriterium nannte der Beschwerdegegner unter anderem "Wirtschaftlichkeit, Preis, Life-Cycle Cost" und gewichtete dieses mit 55 %. Für dieses Kriterium mussten im Angebot die Kosten für die einmaligen Anschaffungskosten sowie die Betriebskosten angegeben werden. Die Anschaffungskosten wurden sodann in die Positionen "10 Umsetzung der Lösung bei ewz inkl. Systemintegration und Anbindung der Schnittstellen", "20 Inbetriebnahme der Lösung und Datenmigration aus Alt-System", "30 Begleitung der Abnahme" sowie "40 Ausführung von Schulungen bei ewz" aufgeteilt. Es findet sich in den Ausschreibungsunterlagen kein Hinweis, dass weitere, insbesondere auch interne Mehrkosten des Beschwerdegegners bei der Preisbewertung berücksichtigt würden. Die Berücksichtigung interner Mehrkosten zusätzlich zu diesen abschliessend aufgezählten erwähnten Preispositionen ohne Hinweis in den Ausschreibungsunterlagen ist aber nachträglich nicht mehr zulässig. Der Beschwerdegegner hätte daher von den ursprünglich angebotenen Preisen bei deren Bewertung ausgehen müssen und hätte die Angebote nicht mit internem Mehraufwand bereinigen dürfen. Die Punktebewertung ist daher beim Kriterium "Wirtschaftlichkeit, Preis, Life-Cycle Cost" zu korrigieren. Die Beschwerdeführerin hat das günstigste Angebot eingereicht, weshalb sich ihre Note nicht verändert. Nach der Formel des Beschwerdegegners erhält ausgehend von den eingereichten Angebotspreisen die Mitbeteiligte nun nicht mehr die Note 4.61 sondern lediglich noch die Note</w:t>
      </w:r>
    </w:p>
    <w:p>
      <w:r>
        <w:rPr>
          <w:b/>
        </w:rPr>
        <w:t>E. 3.07</w:t>
      </w:r>
    </w:p>
    <w:p>
      <w:r>
        <w:t>Damit erhält sie beim Preiskriterium noch 169 Punkte und gesamthaft noch 390.4 Punkte. Sie liegt damit nun hinter der Beschwerdeführerin, welche gesamthaft 469.7 Punkte hat. Demgemäss ist der Zuschlag aufzuheben und neu der Beschwerdeführerin zu erteilen. Es kann damit offenbleiben, ob die weiteren Rügen der Beschwerdeführerin ebenfalls begründet waren und auch auf die Editierung weiterer Unterlagen kann verzichtet werden. Praxisgemäss erteilt das Verwaltungsgericht den Zuschlag jedoch nicht selber; die Sache ist vielmehr mit einer entsprechenden Anordnung an den Beschwerdegegner zurückzuweisen (vgl. VGr, 13. Februar 2002, VB.2001.00035, E. 3c = BEZ 2002 Nr. 33).</w:t>
      </w:r>
    </w:p>
    <w:p>
      <w:r>
        <w:rPr>
          <w:b/>
        </w:rPr>
        <w:t>E. 4</w:t>
      </w:r>
    </w:p>
    <w:p>
      <w:r>
        <w:t>Ausgangsgemäss sind die Kosten des Beschwerdeverfahrens dem Beschwerdegegner aufzuerlegen (§ 65a Abs. 2 in Verbindung mit § 13 Abs. 2 VRG) und es steht ihm keine Parteientschädigung zu (§ 17 Abs. 2 VRG). Die nicht vertretene Beschwerdeführerin beantragt für das Beschwerdeverfahren die Zusprechung einer Parteientschädigung. Infrage kommt eine solche nach § 17 Abs. 2 lit. a VRG, falls der Beschwerdeführerin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(statt vieler VGr, 1. September 2020, VB.2020.00384, E. 4.2; Kaspar Plüss, Kommentar VRG, § 17 N. 49). Mindestens letztere Voraussetzung ist vorliegend erfüllt. Der Beschwerdegegner ist daher zu verpflichten, der Beschwerdeführerin für das Beschwerdeverfahren eine Entschädigung für ihre Umtriebe zu bezahlen. Dabei ist zu beachten, dass die Beschwerdeführerin bloss Anspruch auf eine angemessene Entschädigung hat und nicht der volle Aufwand entschädigt wird. Als angemessen gilt eine Entschädigung von Fr. 1'000.-.</w:t>
      </w:r>
    </w:p>
    <w:p>
      <w:r>
        <w:rPr>
          <w:b/>
        </w:rPr>
        <w:t>E. 5</w:t>
      </w:r>
    </w:p>
    <w:p>
      <w:r>
        <w:t>Der Auftragswert (Angebot der Beschwerdeführerin) übersteigt den massgeblichen Schwellenwert gemäss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