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VB.2021.00218 vom 28. Oktober 2021</w:t>
      </w:r>
    </w:p>
    <w:p>
      <w:r>
        <w:t>ZH Verwaltungsgericht, 2021-10-28, DE</w:t>
      </w:r>
    </w:p>
    <w:p>
      <w:r>
        <w:rPr>
          <w:b/>
        </w:rPr>
        <w:t xml:space="preserve">Quelle: </w:t>
      </w:r>
      <w:r>
        <w:t>https://mcp.opencaselaw.ch/entscheid/zh_verwaltungsgericht__VB.2021.00218</w:t>
      </w:r>
    </w:p>
    <w:p>
      <w:r>
        <w:t>FR: ZH_VERWALTUNGSGERICHT VB.2021.00218 du 28 octobre 2021</w:t>
      </w:r>
    </w:p>
    <w:p>
      <w:r>
        <w:t>IT: ZH_VERWALTUNGSGERICHT VB.2021.00218 del 28 ottobre 2021</w:t>
      </w:r>
    </w:p>
    <w:p>
      <w:pPr>
        <w:pStyle w:val="Heading2"/>
      </w:pPr>
      <w:r>
        <w:t>Regeste</w:t>
      </w:r>
    </w:p>
    <w:p>
      <w:r>
        <w:t>Einreise zur erwerbslosen Wohnsitznahme | [Die 1949 geborene brasilianische Beschwerdeführerin ersucht um Bewilligung der Einreise zur erwerbslosen Wohnsitznahme in der Schweiz, wo ihr Sohn mit seiner Ehefrau lebt.] Der Beschwerdeführerin ist zugutezuhalten, dass sie sich seit rund 30 Jahren regelmässig für mehrere Wochen in der Schweiz aufgehalten hat. Der Zweck ihrer Aufenthalte bestand jedoch vorwiegend darin, ihren Sohn und dessen Ehefrau zu besuchen. Aus den eingereichten Referenzschreiben ergibt sich zwar, dass die Beschwerdeführerin in der Schweiz auch Kontakte zu anderen Personen unterhalten und etwa auch Interesse für das örtliche Gemeinwesen gezeigt hat. Auf intensive Kontakte zur hiesigen Bevölkerung lässt sich gestützt darauf aber nicht schliessen. Insgesamt erweist sich der Schluss von Beschwerdegegner und Vorinstanz, die Beschwerdeführerin verfüge nicht über besondere persönliche Beziehungen zur Schweiz, nicht als rechtsverletzend (E. 2.4). Abweisung.</w:t>
      </w:r>
    </w:p>
    <w:p>
      <w:pPr>
        <w:pStyle w:val="Heading2"/>
      </w:pPr>
      <w:r>
        <w:t>Erwägungen</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