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VB.2021.00216 vom 8. Juli 2021</w:t>
      </w:r>
    </w:p>
    <w:p>
      <w:r>
        <w:t>ZH Verwaltungsgericht, 2021-07-08, DE</w:t>
      </w:r>
    </w:p>
    <w:p>
      <w:r>
        <w:rPr>
          <w:b/>
        </w:rPr>
        <w:t xml:space="preserve">Quelle: </w:t>
      </w:r>
      <w:r>
        <w:t>https://mcp.opencaselaw.ch/entscheid/zh_verwaltungsgericht__VB.2021.00216</w:t>
      </w:r>
    </w:p>
    <w:p>
      <w:r>
        <w:t>FR: ZH_VERWALTUNGSGERICHT VB.2021.00216 du 8 juillet 2021</w:t>
      </w:r>
    </w:p>
    <w:p>
      <w:r>
        <w:t>IT: ZH_VERWALTUNGSGERICHT VB.2021.00216 del 8 luglio 2021</w:t>
      </w:r>
    </w:p>
    <w:p>
      <w:pPr>
        <w:pStyle w:val="Heading2"/>
      </w:pPr>
      <w:r>
        <w:t>Regeste</w:t>
      </w:r>
    </w:p>
    <w:p>
      <w:r>
        <w:t>Widerruf der Aufenthaltsbewilligung | [Der Beschwerdeführer, ein 1997 geborener Staatsangehöriger Nigerias, erhielt eine Aufenthaltsbewilligung zum Verbleib bei seiner Ehefrau, die Schweizer Bürgerin ist.] Die Ehe des Beschwerdeführers ist definitiv gescheitert, weshalb er nach Art. 42 AIG keinen Anspruch mehr auf eine Aufenthaltsbewilligung hat (E. 2.1). Da seine Ehe weniger als drei Jahre dauerte und keine wichtigen Gründe im Sinn von Art. 50 Abs. 1 lit. b AIG vorliegen, hat der Beschwerdeführer auch gestützt auf Art. 50 AIG keinen Aufenthaltsanspruch in der Schweiz (E. 2.2 ff.). Abweisung.</w:t>
      </w:r>
    </w:p>
    <w:p>
      <w:pPr>
        <w:pStyle w:val="Heading2"/>
      </w:pPr>
      <w:r>
        <w:t>Erwägungen</w:t>
      </w:r>
    </w:p>
    <w:p>
      <w:r>
        <w:rPr>
          <w:b/>
        </w:rPr>
        <w:t>E. 4</w:t>
      </w:r>
    </w:p>
    <w:p>
      <w:r>
        <w:t>Nach dem Gesagten ist die Beschwerde abzuweisen. Ausgangsgemäss sind die Gerichtskosten dem Beschwerdeführer aufzuerlegen und ist diesem keine Parteientschädigung zuzusprechen (§ 65a Abs. 2 in Verbindung mit § 13 Abs. 2 Satz 1 sowie § 17 Abs. 2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