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VB.2021.00204 vom 14. September 2021</w:t>
      </w:r>
    </w:p>
    <w:p>
      <w:r>
        <w:t>ZH Verwaltungsgericht, 2021-09-14, DE</w:t>
      </w:r>
    </w:p>
    <w:p>
      <w:r>
        <w:rPr>
          <w:b/>
        </w:rPr>
        <w:t xml:space="preserve">Quelle: </w:t>
      </w:r>
      <w:r>
        <w:t>https://mcp.opencaselaw.ch/entscheid/zh_verwaltungsgericht__VB.2021.00204</w:t>
      </w:r>
    </w:p>
    <w:p>
      <w:r>
        <w:t>FR: ZH_VERWALTUNGSGERICHT VB.2021.00204 du 14 septembre 2021</w:t>
      </w:r>
    </w:p>
    <w:p>
      <w:r>
        <w:t>IT: ZH_VERWALTUNGSGERICHT VB.2021.00204 del 14 settembre 2021</w:t>
      </w:r>
    </w:p>
    <w:p>
      <w:pPr>
        <w:pStyle w:val="Heading2"/>
      </w:pPr>
      <w:r>
        <w:t>Regeste</w:t>
      </w:r>
    </w:p>
    <w:p>
      <w:r>
        <w:t>Anforderungen an eine Anwaltskörperschaft | Anforderungen an Anwaltskörperschaft: Gegenstandslosigkeit infolge Statutenänderung. Der Beschwerdeführer machte geltend, die Organisationsform der Beschwerdegegnerin 1 entspreche nicht der zu Art. 8 Abs 1 lit. d BGFA ergangenen bundesgerichtlichen Rechtsprechung, und focht den Entscheid der Aufsichtskommission an, welche den Registereintrag der Anwaltskörperschaft genehmigt hatte. Die Beschwerdegegnerin 1 passte umgehend ihre Statuten an, was im Beschwerdeverfahren als Novum zu berücksichtigen ist.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Aufsichtskommission über die Anwältinnen und Anwälte, Beschwerdegegnerschaft, betreffend Anforderungen an eine Anwaltskörperschaft, hat sich ergeben: I. Die B AG wurde per 1. September 2020 ins Handelsregister eingetragen. Rechtsanwalt C ersuchte am 16. November 2020 die Aufsichtskommission über die Anwältinnen und Anwälte (fortan: Aufsichtskommission) um Anpassung seines Eintrags im Anwaltsregister. Die Aufsichtskommission beschied mit Beschluss vom 4. Februar 2021, die B AG erfülle die einschlägigen aufsichtsrechtlichen Anforderungen, und passte den Eintrag von Rechtsanwalt C im Anwaltsregister im Hinblick auf die Anwaltskörperschaft B AG an. II. Mit Eingabe vom 18. März 2021 erhob das Eidgenössische Justiz- und Polizeidepartement (fortan: EJPD) Beschwerde an das Verwaltungsgericht gegen den Beschluss der Aufsichtskommission vom 4. Februar 2021 betreffend Überprüfung der aufsichtsrechtlichen Anforderungen an eine Anwaltskörperschaft und beantragte dessen Aufhebung sowie die Abweisung des Gesuchs um Anpassung des Eintrags im Anwaltsregister des Kantons Zürich im Hinblick auf die B AG; unter Kosten- und Entschädigungsfolge. Die Aufsichtskommission verzichtete am 30. März 2021 auf eine Beschwerdeantwort. Rechtsanwalt C teilte am 26. April 2021 mit, keine Beschwerdeantwort einzureichen, stattdessen aber die Statuten der B AG entsprechend den Ausführungen in der Beschwerde anzupassen. Mit Präsidialverfügung vom 28. April 2021 wurde das Beschwerdeverfahren einstweilen sistiert. Rechtsanwalt C reichte am 25. Mai 2021 die geänderten Statuten der B AG sowie die Handelsregisteranmeldung ein. Mit Präsidialverfügung vom 26. Mai 2021 wurde das Verfahren fortgesetzt. Die Aufsichtskommission verzichtete am 31. Mai 2021 auf eine weitere Stellungnahme. Die Akten der Aufsichtskommission wurden beigezogen. Die Einzelrichterin erwägt: 1. 1.1 Gegen in Anwendung des Bundesgesetzes über die Freizügigkeit der Anwältinnen und Anwälte vom 23. Juni 2000 (Anwaltsgesetz, BGFA) oder des kantonalen Anwaltsgesetzes vom 17. November 2003 (AnwG) ergangene Anordnungen – hier eine durch die Aufsichtskommission erfolgte Feststellung der erfüllten aufsichtsrechtlichen Anforderungen an eine Anwaltskörperschaft sowie die entsprechende Anpassung des Eintrags im Anwaltsregister des Kantons Zürich – kann gemäss § 38 AnwG Beschwerde an das Verwaltungsgericht nach Massgabe der §§ 41 ff. des Verwaltungsrechtspflegegesetzes vom 24. Mai 1959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der Einzelrichterin fällt (§ 38b Abs. 1 lit. b VRG). 1.2 Der Beschwerdeführer ist gemäss Art. 89 Abs. 2 lit. a i. V. m. Art. 111 Abs. 2 des Bundesgerichtsgesetzes vom 17. Juni 2005 zur Führung der vorliegenden Beschwerde berechtigt. 2. 2.1 Zu prüfen ist, ob das Verfahren angesichts der Statutenänderung der Beschwerdegegnerin 1 vom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Beschwerdegegnerin 1 entspreche nicht der zu Art. 8 Abs. 1 lit. d BGFA ergangenen bundesgerichtlichen Rechtsprechung. Die Beschwerdegegnerin 3 habe die Eintragung der neu gegründeten Beschwerdegegnerin 1 mit Beschluss vom 4. Februar 2021 bewilligt, obwohl die Gründungsunterlagen dem bundesgerichtlichen Grundsatzentscheid BGE 144 II 147 widersprächen. Es sei nicht vorausgesetzt worden, dass alle Aktionäre und Verwaltungsräte in einem kantonalen Anwaltsregister eingetragene Anwältinnen und Anwälte sein müssten. Vielmehr erachte die Beschwerdegegnerin 3 eine Mehrheit von drei Vierteln als genügend. Es komme nicht auf die konkrete, aktuelle Zusammensetzung des Aktionariats oder Verwaltungsrats an, sondern auf die rechtliche Organisationsstruktur, die sich die Körperschaft gegeben habe. Es gehe um die Unabhängigkeit in institutioneller Hinsicht. Die vorliegenden Gründungsdokumente liessen zu, dass zukünftig eine Situation eintrete,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w:t>
      </w:r>
    </w:p>
    <w:p>
      <w:r>
        <w:rPr>
          <w:b/>
        </w:rPr>
        <w:t>E. 3.1</w:t>
      </w:r>
    </w:p>
    <w:p>
      <w:r>
        <w:t>Die im Beschwerdeverfahren eingereichte öffentliche Urkunde über die teilweise Statutenänderung der Beschwerdegegnerin 1 ist als Novum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der Beschwerdegegnerin 1 sind demnach im vorliegenden Verfahren zu berücksichtigen. Da nun vor dem Hintergrund der geänderten Organisationsgrundlagen die dem angefochtenen Beschluss zugrundeliegenden Dokumente in dieser Form nicht mehr existieren, ist der Prozessgegenstand vorliegend weggefallen. Ein aktuelles Rechtsschutzinteresse an der Überprüfung liegt nicht mehr vor.</w:t>
      </w:r>
    </w:p>
    <w:p>
      <w:r>
        <w:rPr>
          <w:b/>
        </w:rPr>
        <w:t>E. 3.2</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 schutzinteressen der Gegenparteien berücksichtigt (VGr, 21. August 2008, VB.2008.00207, E. 1.2 f.). Die Legitimation ist jedenfalls nicht gegeben, wenn nur ein Entscheid über eine theoretische Rechtsfrage angestrebt wird (Bertschi, § 21 N. 25).</w:t>
      </w:r>
    </w:p>
    <w:p>
      <w:r>
        <w:rPr>
          <w:b/>
        </w:rPr>
        <w:t>E. 3.3</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 Ebenso wenig liegt bei der Beschwerdegegnerschaft 1–2 ein aktuelles Rechtsschutzinteresse vor, nachdem sie die Geschäftsunterlagen vorbehaltlos angepasst und damit die Beschwerde der Sache nach anerkannt haben.</w:t>
      </w:r>
    </w:p>
    <w:p>
      <w:r>
        <w:rPr>
          <w:b/>
        </w:rPr>
        <w:t>E. 3.4</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4.2</w:t>
      </w:r>
    </w:p>
    <w:p>
      <w:r>
        <w:t>Bei formeller Betrachtung hat die Beschwerdegegnerschaft 1–2 die Gegenstandslosigkeit durch ihre geänderten Organisationsunterlagen verursacht, womit sie grundsätzlich kostenpflichtig wird. Indessen gilt es zu berücksichtigen, dass die Organisationsunterlagen, welche dem ursprünglichen Gesuch zugrunde lagen, von der Beschwerdegegnerin 3 bisher praxisgemäss für zulässig erachtet wurden. Diese wies die Beschwerdegegnerschaft 1–2 während des Verfahrens vor der Vorinstanz schriftlich darauf hin, dass es ein Rechtsmittelverfahren nach sich ziehen könnte, sollte eine dahingehende Anpassung, dass die Körperschaft ausschliesslich von in der Schweiz registrierten Anwältinnen und Anwälten kontrolliert werden, nicht erfolgen. Demzufolge musste die Beschwerdegegnerschaft 1–2 – welche diesbezüglich mit Schreiben der Beschwerdegegnerin 3 vom 8. Dezember 2020 informiert worden waren – befürchten, dass sie sich mit ihren damaligen Organisationsunterlagen möglicherweise in Widerspruch zur diesbezüglichen Rechtsauffassung des Beschwerdeführers und jener des Bundesgerichts setzen und dies ein Rechtsmittelverfahren mit entsprechenden Kostenfolgen nach sich ziehen kann. Es rechtfertigt sich deshalb, die Kosten je zur Hälfte der Beschwerdegegnerschaft 1–2 aufzuerlegen, welche für den Gesamtanteil ihrer Kosten solidarisch haften. Da das Verfahren ohne materielle Prüfung der Sache erledigt wird, sind die Kosten entsprechend zu reduzieren.</w:t>
      </w:r>
    </w:p>
    <w:p>
      <w:r>
        <w:rPr>
          <w:b/>
        </w:rPr>
        <w:t>E. 4.3</w:t>
      </w:r>
    </w:p>
    <w:p>
      <w:r>
        <w:t>Mangels überwiegenden Obsiegens bleibt der Beschwerdegegnerschaft 1–2 eine Entschädigung versagt (§ 17 Abs. 2 VRG). Die Beschwerdegegnerin 3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