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VB.2021.00173 vom 16. Juni 2021</w:t>
      </w:r>
    </w:p>
    <w:p>
      <w:r>
        <w:t>ZH Verwaltungsgericht, 2021-06-16, DE</w:t>
      </w:r>
    </w:p>
    <w:p>
      <w:r>
        <w:rPr>
          <w:b/>
        </w:rPr>
        <w:t xml:space="preserve">Quelle: </w:t>
      </w:r>
      <w:r>
        <w:t>https://mcp.opencaselaw.ch/entscheid/zh_verwaltungsgericht__VB.2021.00173</w:t>
      </w:r>
    </w:p>
    <w:p>
      <w:r>
        <w:t>FR: ZH_VERWALTUNGSGERICHT VB.2021.00173 du 16 juin 2021</w:t>
      </w:r>
    </w:p>
    <w:p>
      <w:r>
        <w:t>IT: ZH_VERWALTUNGSGERICHT VB.2021.00173 del 16 giugno 2021</w:t>
      </w:r>
    </w:p>
    <w:p>
      <w:pPr>
        <w:pStyle w:val="Heading2"/>
      </w:pPr>
      <w:r>
        <w:t>Regeste</w:t>
      </w:r>
    </w:p>
    <w:p>
      <w:r>
        <w:t>Erteilung von Aufenthaltsbewilligungen (Wiedererwägungsgesuch) | [Der Beschwerdeführer hat seine Ehefrau und zwei der gemeinsamen Kinder in die Schweiz geholt, nachdem ein erstes Familiennachzugsgesuch rechtskräftig abgewiesen worden war. Prozessgegenstand ist das vierte Gesuch um Wiedererwägung des Familiennachzugs.] Die Beschwerde richtet sich gegen einen Entscheid, mit dem die Vorinstanz einen Nichteintretensentscheid des Migrationsamts bestätigt hat. Die Prüfungsbefugnis beschränkt sich auf die Frage, ob die vorinstanzliche Beurteilung der Eintretensfrage an beschwerdefähigen Rechtsmängeln leidet (E. 1.3). Die Rechtslage oder die tatsächlichen Umstände haben sich seit Erlass der Verfügungen des Migrationsamts nicht wesentlich geändert. Wichtige persönliche Gründe für einen nachträglichen Familiennachzug können nicht durch Sachumstände belegt werden, welche allein Folge einer vorweggenommenen, eigenmächtigen Verlagerung des Lebensmittelpunktes in die Schweiz sind. Die Integrationserfolge stellen keine neuen wesentlichen Tatsachen dar. Auch die globale Covid-19-Pandemie und die psychischen Probleme des Sohnes verschaffen keinen Anspruch auf einen weiteren Verbleib in der Schweiz (E. 2). Abweisung der Beschwerde.</w:t>
      </w:r>
    </w:p>
    <w:p>
      <w:pPr>
        <w:pStyle w:val="Heading2"/>
      </w:pPr>
      <w:r>
        <w:t>Erwägungen</w:t>
      </w:r>
    </w:p>
    <w:p>
      <w:r>
        <w:rPr>
          <w:b/>
        </w:rPr>
        <w:t>E. 2</w:t>
      </w:r>
    </w:p>
    <w:p>
      <w:r>
        <w:t>Wie die Vorinstanz im angefochtenen Entscheid zutreffend festgehalten hat, handelt es sich beim vorliegenden Wiedererwägungsgesuch materiell betrachtet um das vierte Gesuch, mit welchem die Beschwerdeführenden die Aufhebung der ersten Verfügung vom 16. Januar 2017 begehren, womit das Migrationsamt das Gesuch um Familiennachzug aufgrund der zu spät eingereichten Gesuche und fehlender wichtiger Gründe für einen nachträglichen Familiennachzug abgewiesen hat.</w:t>
      </w:r>
    </w:p>
    <w:p>
      <w:r>
        <w:rPr>
          <w:b/>
        </w:rPr>
        <w:t>E. 2.1.1</w:t>
      </w:r>
    </w:p>
    <w:p>
      <w:r>
        <w:t>Auch wenn über die Erteilung eines Aufenthaltsrechts im Rahmen eines nachträglichen Familiennachzugs bereits rechtskräftig entschieden wurde, können die Beschwerdeführenden grundsätzlich jederzeit ein neues Bewilligungsgesuch einreichen.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hat (BGE 136 II 177 E. 2.2.1).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und VGr, 13. Februar 2020, VB.2020.00015, E. 3.2, je mit Hinweisen).</w:t>
      </w:r>
    </w:p>
    <w:p>
      <w:r>
        <w:rPr>
          <w:b/>
        </w:rPr>
        <w:t>E. 2.1.2</w:t>
      </w:r>
    </w:p>
    <w:p>
      <w:r>
        <w:t>Die in Art. 47 AIG enthaltenen Altersbeschränkungen und Fristen für den Familiennachzug dienen der frühzeitigen Integration und sind auch mit der EMRK vereinbar (BGE 137 I 284 E. 2.4–2.6). Ein nachträglicher Familiennachzug, wenn also das Gesuch erst nach Ablauf der Nachzugsfristen gemäss Art. 47 Abs. 1 bis 3 AIG gestellt wurde, wird nur bewilligt, wenn wichtige familiäre Gründe geltend gemacht werden. Wichtige familiäre Gründe im Sinn von Art. 47 Abs. 4 AIG liegen vor, wenn das Kindeswohl nur durch einen Nachzug in die Schweiz sachgerecht gewahrt werden kann (Art. 75 VZAE). Entgegen dem Wortlaut der Verordnungsbestimmung ist dabei nach der Rechtsprechung jedoch nicht ausschliesslich auf das Kindeswohl abzustellen; es bedarf vielmehr einer Gesamtschau unter Berücksichtigung aller relevanten Elemente im Einzelfall (vgl. statt vieler BGr, 19. Februar 2016, 2C_767/2015, E. 5.1.1).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AuG, BBl 2002 3754 f. Ziff. 1.3.7.7). Die Bewilligung des Nachzugs nach Ablauf der Fristen hat nach dem Willen des Gesetzgebers die Ausnahme zu bleiben; dabei ist Art. 47 Abs. 4 Satz 1 AIG bzw. Art. 75 VZAE jeweils aber dennoch so zu handhaben, dass der Anspruch auf Schutz des Familienlebens nach Art. 8 EMRK bzw. Art. 13 BV nicht verletzt wird (BGr, 19. Februar 2016, 2C_767/2015, E. 5.1.1 mit Hinweisen).</w:t>
      </w:r>
    </w:p>
    <w:p>
      <w:r>
        <w:rPr>
          <w:b/>
        </w:rPr>
        <w:t>E. 2.1.3</w:t>
      </w:r>
    </w:p>
    <w:p>
      <w:r>
        <w:t>Ein wichtiger Grund liegt vor, wenn die weiterhin notwendige Betreuung der Kinder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Allerdings geht es inhaltlich nicht darum, dass alternative Betreuungsmöglichkeiten im Heimatland überhaupt fehlen; das heisst,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nicht allzu eng erscheint (BGE 133 II 6 E. 3.1.2).</w:t>
      </w:r>
    </w:p>
    <w:p>
      <w:r>
        <w:rPr>
          <w:b/>
        </w:rPr>
        <w:t>E. 2.2</w:t>
      </w:r>
    </w:p>
    <w:p>
      <w:r>
        <w:t>Die Beschwerdeführenden machen geltend, es lägen qualifizierte Wiedererwägungsgründe vor. Der Gesundheitszustand des Beschwerdeführers 3 habe sich insbesondere aufgrund seiner drohenden Wegweisung deutlich verschlechtert. Eine mögliche Wegweisung und die daraus resultierende Perspektivlosigkeit, die sich bereits aufgrund seines Schulabschlusses im Sommer 2019 verstärkt habe, führten bei ihm zu Schlafstörungen, Konzentrationsschwierigkeiten und suizidalen Absichten. Er habe sich deshalb erneut psychiatrisch untersuchen lassen. Das psychiatrische Gutachten attestiere ihm eine Anpassungsstörung sowie eine Depression und Hinweise auf eine latente Selbstgefährdung. Diese psychischen Erschwernisse seien entgegen der Meinung der Vorinstanz nicht den Eltern des Beschwerdeführers 3 zuzurechnen, sondern allein dem Umstand der möglichen Wegweisung aus einem Land, in dem er aufgewachsen sei und die wichtigsten Jahre seiner sozialen und emotionalen Entwicklung durchgemacht habe. Die Integration des zum Einreisezeitpunkt vierzehn- und heute volljährigen Beschwerdeführers 3 müsse selbständig sowie im Licht der KRK als neue Tatsache gewürdigt werden. Die Tatsache, dass der Beschwerdeführer 3 mittlerweile volljährig sei, stelle für sich alleine schon eine neue wesentliche Tatsache dar. Entgegen der Ansicht der Vorinstanz handle es sich bei der Integration der Beschwerdeführer 3 und 4 sowohl um neue als auch um wesentliche Tatsachen. An der Unrechtmässigkeit ihres Aufenthalts würden die Beschwerdeführer 3 und 4 keinerlei Verschulden tragen. Die erfolgreiche Integration der Beschwerdeführer 3 und 4 würde überdies möglicherweise die Härtefallkriterien von Art. 30 Abs. 1 lit. b AIG i. V. m. Art. 31 lit. a, c, e und f VZAE i. V. m. Art. 58a Abs. 1 AIG erfüllen. Die erfolgte Integration in der Schweiz sei auch entscheidrelevant, da sich die Rückkehr nach Nigeria für die Kinder aufgrund der starken Assimilation und Verwurzelung in der Schweiz als unzumutbar erweise. Der Vollzug der Wegweisung würde das Kindeswohl erheblich gefährden. Die Vorinstanz habe dies nur unzureichend abgeklärt und gewürdigt, insbesondere habe sie die Kinder weder schriftlich noch mündlich angehört. Weiter erweise sich die Wegweisung auch aufgrund der Covid-19-Pandemie als unzumutbar. Nicht nur die Lebensverhältnisse hätten sich in Nigeria drastisch verschlechtert, auch die Massnahmen wie Schulschliessungen, welche aufgrund der Pandemie ergriffen worden seien, würden eine derzeitige Integration in Nigeria unmöglich machen. Zudem sei die Menschenrechtslage in Nigeria weiterhin prekär und auch das Eidgenössische Amt für Auswärtiges (EDA) rate in seinen Reisehinweisen von einer Reise nach Nigeria ab. Schliesslich entspreche die vom SEM ausgestellte Zusicherung, dass auf Anfrage der Beschwerdeführerin 2 ein Laissez-Passer ausgestellt würde, nicht den von ihr mit der Botschaft gemachten Erfahrungen. Das SEM habe bis heute keinen entsprechenden Beleg erbracht. Ihr Pass sei ihr bis anhin nicht zurückgegeben worden und auch sei ihr noch kein Laissez-Passer ausgestellt worden. Diese Umstände stünden zusätzlich einer Wegweisung entgegen.</w:t>
      </w:r>
    </w:p>
    <w:p>
      <w:r>
        <w:rPr>
          <w:b/>
        </w:rPr>
        <w:t>E. 2.3</w:t>
      </w:r>
    </w:p>
    <w:p>
      <w:r>
        <w:t>Vorliegend ist zu prüfen, ob sich die Rechtslage oder die tatsächlichen Umstände seit Erlass der Verfügungen des Migrationsamts vom 16. Januar 2017, 22. September 2017 und 29. März 2019 in einer Weise geändert haben, welche eine materielle Behandlung des Wiedererwägungsgesuchs durch das Migrationsamt erfordert hätte. Wie die Vorinstanz zutreffend festgehalten hat, sind für die Beurteilung, ob Wiedererwägungsgründe vorliegen, die in den Verfügungen rechtskräftig festgestellten Umstände massgebend, wonach der Anspruch der Beschwerdeführenden auf Familiennachzug aufgrund der zu spät eingereichten Gesuche entfallen ist und keine wichtigen Gründe für einen nachträglichen Familiennachzug vorliegen. Für das Nachzugsalter ist der Zeitpunkt der Gesuchseinreichung massgeblich (vgl. BGr, 3. Oktober 2011, 2C_205/2011, E. 1; BGE 136 II 497 E. 3.7). Es ist deshalb unerheblich, dass der Beschwerdeführer 3 inzwischen volljährig geworden ist, da er zum Zeitpunkt der Einreichung des Familiennachzugsgesuchs dieses Alter noch nicht erreicht hatte (vgl. BGE 136 II 497 E. 3.2–3.9). Wie die Vorinstanz im angefochtenen Entscheid weiter zutreffend festgehalten hat, stellen die Integrationserfolge keine neuen wesentlichen Tatsachen dar. Die Beschwerdeführenden argumentieren, als ob es darum ginge, den Beschwerdeführenden 2–4 ein bestehendes Aufenthaltsrecht zu entziehen. Sie verkennen jedoch, dass der Umstand, dass die Beschwerdeführenden 2–4 nunmehr seit vier Jahren in der Schweiz leben, keine ausschlaggebende Rolle spielen kann. Die Beschwerdeführenden 2–4 sind im April 2017 mit einem Touristenvisum eingereist. Nach dem klaren Wortlaut und Sinn von Art. 17 Abs. 1 AIG haben Ausländer, die für einen vorübergehenden Aufenthalt rechtmässig eingereist sind und nachträglich eine Bewilligung für einen dauerhaften Aufenthalt beantragen, den Entscheid im Ausland abzuwarten. Die Beschwerdeführenden 2–4 hatten auch keinen Anspruch auf einen vorläufigen Aufenthalt nach Art. 17 Abs. 2 AIG, da die Zulassungsvoraussetzungen nicht offensichtlich erfüllt gewesen waren. Ihr Familiennachzugsgesuch ist bereits vor ihrer Einreise (Verfügung des Migrationsamts vom 16. Januar 2017) rechtskräftig abgewiesen worden. Mit Art. 17 AIG soll verhindert werden, dass die Gesuchstellenden durch einen unbewilligten Aufenthalt in der Schweiz vollendete Tatsachen schaffen, die sie bei rechtmässigem Verhalten nicht hätten schaffen können, und dadurch privilegiert werden gegenüber denjenigen, die das korrekte Verfahren einhalten (vgl. BGE 139 I 37 E. 3.3.1; BGr, 16. April 2018, 2C_591/2017, E. 2.6). Die Beschwerdeführenden 2–4 können deshalb aus dem Umstand, dass sie seit April 2017 – ohne gültigen Aufenthaltstitel – beim Beschwerdeführer 1 in der Schweiz leben, sich mittlerweile eingelebt haben und eine gewisse Integration stattgefunden hat, nichts zu ihren Gunsten ableiten. Dass den Beschwerdeführern 3 und 4 keine Schuld an der vorliegenden Situation zukommt, ändert daran nichts. Wichtige persönliche Gründe für einen nachträglichen Familiennachzug können nicht durch Sachumstände begründet werden, welche allein Folge einer vorweggenommenen, eigenmächtigen Verlagerung des Lebensmittelpunktes in die Schweiz sind. Die Erforderlichkeit des Nachzugs hat sich vielmehr im Ungenügen der bisherigen Betreuungssituation im Heimatland zu offenbaren, ansonsten die Behörden vor vollendete Tatsachen gestellt werden könnten und der sich rechtskonform verhaltende Bürger benachteiligt würde (vgl. BGE 129 II 249 E. 2.; BGE 133 II 6 E. 6.3.2; BGr, 1. April 2016, 2C_781/2015, E. 4.3). Solche Gründe machen die Beschwerdeführenden indes nicht geltend und sind auch nicht ersichtlich. Es ist davon auszugehen, dass die Betreuungssituation im Heimatland weiterhin gewährleistet ist. Die Beschwerdeführerin 2 hat die Beschwerdeführer 3 und 4 bis anhin im Heimatland betreut und würde gemeinsam mit ihren Kindern zurückkehren. Der Beschwerdeführer 3 ist zudem mittlerweile volljährig und bedarf keiner umfassender Betreuung mehr. Auch aus der globalen Covid-19-Pandemie können die Beschwerdeführenden 2–4 nichts zu ihren Gunsten ableiten. Die derzeitige Gefährdungslage aufgrund der Pandemiesituation ist in allen Ländern gleichermassen gegeben. Die wirtschaftlichen Auswirkungen und gesundheitlichen Risiken der Pandemie betreffen nicht nur Nigeria, sondern auch die Schweiz. Es ist nicht ersichtlich, dass die Beschwerdeführenden 2–4 einer durch das Virus besonders gefährdeten Risikogruppe angehören würden. Überdies haben sie die Möglichkeit, sich vor der Rückkehr in der Schweiz impfen zu lassen und sich so vor einer Infektion zu schützen. Sollten Einschränkungen bestehen (wie z. B. Einreiserestriktionen oder ein allfälliger Mangel an verfügbaren Rückflügen) kann diesen bei der Ansetzung der Ausreisefrist Rechnung getragen werden, ohne dass allein deshalb der weitere Aufenthalt zu gestatten wäre oder sich hieraus ein dauerndes Vollzugshindernis im Sinn von Art. 83 AIG ergibt (VGr, 11. November 2020, VB.2020.00751, E. 2.5; vgl. auch BGr, 8. Juni 2020, 2C_301/2020, E. 4.2.3). An diesem Ausgang des Verfahrens vermögen auch die geltend gemachten psychischen Probleme und das Risiko einer suizidalen Handlung des Beschwerdeführers 3 nichts zu ändern. Anknüpfend an die bundesgerichtliche Rechtsprechung begründet dies für sich allein keinen Anspruch auf einen weiteren Verbleib im Land (BGE 139 II 393 E. 5.2.2). Die psychischen Probleme stehen sodann im Zusammenhang mit dem drohenden Wegweisungsvollzug. Dieser Zustand dürfte deshalb vorübergehend sein und es kann ihm mit einer entsprechenden Vorbereitung der Rückreise entgegengetreten werden. Entsprechend dem genannten Bundesgerichtsentscheid sind die schweizerischen Behörden gehalten, im Rahmen der konkreten Rückkehrmassnahmen alles ihnen Zumutbare vorzukehren, um medizinisch bzw. betreuungsweise sicherzustellen, dass das Leben und die Gesundheit des Beschwerdeführers 3 nicht beeinträchtigt werden. Soweit die Beschwerdeführenden vorbringen, die vom SEM ausgestellte Zusicherung, dass auf Anfrage Beschwerdeführerin 2 ein Laissez-Passer ausgestellt würde, entspreche nicht ihrer mit der Botschaft gemachten Erfahrungen, kann ihnen nicht gefolgt werden. Die Beschwerdeführenden substanziieren diese Behauptung mit keinem Wort und reichen keinerlei Belege ein. Es ist deshalb weiterhin davon auszugehen, dass der Beschwerdeführerin 2 von der nigerianischen Botschaft sofort ein Laisser-Passer ausgestellt würde, sollte sie bereit sein, mit Rückkehrhilfe nach Nigeria zurückzukehren, wie dies aus der Bestätigung des SEM vom 12. November 2019 hervorgeht. Schliesslich sind auch die Vorausssetzungen für einen Härtefall bei den Beschwerdeführenden 2–4 nicht erfüllt. Da bereits bei der Prüfung der wichtigen Gründe für einen nachträglichen Nachzug eine Gesamtschau unter Berücksichtigung aller relevanten Elemente im Einzelfall vorzunehmen ist (BGr, 5. Juni 2013, 2C_906/2012, E. 3.2), besteht für die Prüfung eines Härtefalls im Sinn von Art. 30 Abs. 1 lit. b AIG kein Raum, wenn die Voraussetzungen für einen nachträglichen Familiennachzug nicht gegeben sind (VGr, 1. Juli 2020, VB.2020.00328, E. 2.1) . Die Erteilung von Härtefallbewilligungen käme ohnehin nicht infrage, können die Beschwerdeführenden 2–4 keine Rechte daraus ableiten, dass sie sich rechtswidrig in der Schweiz aufhalten (vgl. BGr, 29. Oktober 2018, 2D_37/2018, E. 3.3). Die in Art. 47 Abs. 4 AIG vorgesehene Anhörung der Kinder hat zu erfolgen, "sofern dies erforderlich ist". Das entspricht auch Art. 12 KRK. Eine persönliche Anhörung ist nicht in jedem Fall notwendig;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(Urteil 2C_578/2012 vom 22. Februar 2013 E. 2.4; 2C_330/2012 vom 18. Oktober 2012 E. 2.3; 2C_506/2012 vom 12. Juni 2012 E. 2.2.2; vgl. zu Art. 12 KRK BGE 124 II 361 E. 3c S. 368). Dies ist vorliegend der Fall. Der Sachverhalt ergibt sich nach dem Gesagten mit hinreichender Klarheit aus den Akten. Die Beschwerdeführer 3 und 4 hatten die Möglichkeit, ihre Interessen über ihre Eltern in das Verfahren einzubringen. Bei dieser Sachlage erschliesst sich nicht, dass entscheidwesentliche Erkenntnisse aus einer mündlichen oder schriftlichen Anhörung hervorgehen würden. Es kann deshalb in antizipierter Beweiswürdigung auf eine Anhörung der Beschwerdeführer 3 und</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