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VB.2021.00117 vom 22. Juli 2021</w:t>
      </w:r>
    </w:p>
    <w:p>
      <w:r>
        <w:t>ZH Verwaltungsgericht, 2021-07-22, DE</w:t>
      </w:r>
    </w:p>
    <w:p>
      <w:r>
        <w:rPr>
          <w:b/>
        </w:rPr>
        <w:t xml:space="preserve">Quelle: </w:t>
      </w:r>
      <w:r>
        <w:t>https://mcp.opencaselaw.ch/entscheid/zh_verwaltungsgericht__VB.2021.00117</w:t>
      </w:r>
    </w:p>
    <w:p>
      <w:r>
        <w:t>FR: ZH_VERWALTUNGSGERICHT VB.2021.00117 du 22 juillet 2021</w:t>
      </w:r>
    </w:p>
    <w:p>
      <w:r>
        <w:t>IT: ZH_VERWALTUNGSGERICHT VB.2021.00117 del 22 luglio 2021</w:t>
      </w:r>
    </w:p>
    <w:p>
      <w:pPr>
        <w:pStyle w:val="Heading2"/>
      </w:pPr>
      <w:r>
        <w:t>Regeste</w:t>
      </w:r>
    </w:p>
    <w:p>
      <w:r>
        <w:t>Verlängerung der Aufenthaltsbewilligung | [Nichtverlängerung der Aufenthaltsbewilligung wegen Nichterreichens der Dreijahresfrist von Art. 50 Abs. 1 lit. a AIG] Vorliegend ist nicht erwiesen, dass der Ehewille des Beschwerdeführers oder seiner ehemaligen Ehefrau bereits vor Erreichen der Dreijahresfrist definitiv erloschen war (E. 3.1 f.). Der Beschwerdeführer erfüllt die Integrationskriterien von Art. 58a AIG. Ihm kommt damit gestützt auf Art. 50 Abs. 1 lit. a AIG (weiterhin) ein Anspruch auf Verlängerung seiner Aufenthaltsbewilligung zu (E. 3.3). Abweisung URB aufgrund mangelnden Nachweises der Mittellosigkeit. Gutheissung.</w:t>
      </w:r>
    </w:p>
    <w:p>
      <w:pPr>
        <w:pStyle w:val="Heading2"/>
      </w:pPr>
      <w:r>
        <w:t>Erwägungen</w:t>
      </w:r>
    </w:p>
    <w:p>
      <w:r>
        <w:rPr>
          <w:b/>
        </w:rPr>
        <w:t>E. 4</w:t>
      </w:r>
    </w:p>
    <w:p>
      <w:r>
        <w:t>Nach dem Gesagten ist die Beschwerde gutzuheissen und der Beschwerdegegner einzuladen, die Aufenthaltsbewilligung des Beschwerdeführers zu verlängern.</w:t>
      </w:r>
    </w:p>
    <w:p>
      <w:r>
        <w:rPr>
          <w:b/>
        </w:rPr>
        <w:t>E. 5.1</w:t>
      </w:r>
    </w:p>
    <w:p>
      <w:r>
        <w:t>Ausgangsgemäss sind die Kosten des Rekurs- und des Beschwerdeverfahrens dem Beschwerdegegner aufzuerlegen (§ 65a in Verbindung mit § 13 Abs. 2 Satz 1 VRG) und ist dem Beschwerdeführer antragsgemäss für beide Verfahren eine Parteientschädigung zuzusprechen (§ 17 Abs. 2 VRG).</w:t>
      </w:r>
    </w:p>
    <w:p>
      <w:r>
        <w:rPr>
          <w:b/>
        </w:rPr>
        <w:t>E. 5.2</w:t>
      </w:r>
    </w:p>
    <w:p>
      <w:r>
        <w:t>Der Beschwerdeführer ersucht um unentgeltliche Rechtspflege und -vertretung auch für das Beschwerdeverfahren.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[Kommentar VRG], § 16 N. 46). Mittellos ist, wer nicht in der Lage ist, die Gerichts- und Anwaltskosten aus seinem Einkommen – nach Abzug der Lebenshaltungskosten – innert angemessener Frist zu bezahlen (Plüss, § 16 N. 20). Den Nachweis der Mittellosigkeit hat grundsätzlich die gesuchstellende Person zu erbringen (Plüss, § 16 N. 38). Der Beschwerdeführer wird nicht mit Gerichtskosten belastet, daher ist sein Gesuch um unentgeltliche Prozessführung als gegenstandslos geworden abzuschreiben. Das Gesuch um unentgeltliche Rechtsvertretung ist abzuweisen, da der Beschwerdeführer vor dem Hintergrund des Dargelegten nicht als mittellos zu betrachten ist. Überdies hat es der rechtskundig vertretene Beschwerdeführer unterlassen, seiner Substanziierungsobliegenheit hinsichtlich seiner Lebenshaltungskosten nachzukommen (VGr, 18. März 2021, VB.2021.00110, E. 5.2 Abs. 2 mit Hinweis; Plüss, § 16 N. 38). Aus denselben Gründen kommt auch die Bestellung eines unentgeltlichen Rechtsbeistands für das vorinstanzliche Verfahren nicht in Betracht.</w:t>
      </w:r>
    </w:p>
    <w:p>
      <w:r>
        <w:rPr>
          <w:b/>
        </w:rPr>
        <w:t>E. 6</w:t>
      </w:r>
    </w:p>
    <w:p>
      <w:r>
        <w:t>Zur Rechtsmittelbelehrung des nachstehenden Dispositivs ist Folgendes zu erläutern: Soweit ein Anwesenheitsanspruch des Beschwerdeführers geltend gemacht wird, ist Beschwerde in öffentlich-rechtlichen Angelegenheiten nach Art. 82 ff. des Bundesgerichtsgesetzes vom 17. Juni 2005 (BGG, SR 173.110) zu erheben (vgl. Art. 83 lit. c Ziff. 2 BGG e contrario).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