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VB.2021.00114 vom 28. Mai 2021</w:t>
      </w:r>
    </w:p>
    <w:p>
      <w:r>
        <w:t>ZH Verwaltungsgericht, 2021-05-28, DE</w:t>
      </w:r>
    </w:p>
    <w:p>
      <w:r>
        <w:rPr>
          <w:b/>
        </w:rPr>
        <w:t xml:space="preserve">Quelle: </w:t>
      </w:r>
      <w:r>
        <w:t>https://mcp.opencaselaw.ch/entscheid/zh_verwaltungsgericht__VB.2021.00114</w:t>
      </w:r>
    </w:p>
    <w:p>
      <w:r>
        <w:t>FR: ZH_VERWALTUNGSGERICHT VB.2021.00114 du 28 mai 2021</w:t>
      </w:r>
    </w:p>
    <w:p>
      <w:r>
        <w:t>IT: ZH_VERWALTUNGSGERICHT VB.2021.00114 del 28 maggio 2021</w:t>
      </w:r>
    </w:p>
    <w:p>
      <w:pPr>
        <w:pStyle w:val="Heading2"/>
      </w:pPr>
      <w:r>
        <w:t>Regeste</w:t>
      </w:r>
    </w:p>
    <w:p>
      <w:r>
        <w:t>Erteilung einer Aufenthaltsbewilligung | Nachdem der Beschwerdeführer die ihm auferlegte Kaution (innert Frist) nicht geleistet hat, ist auf die Beschwerde androhungsgemäss nicht einzutreten. Abweisung UP infolge Aussichtslosigkeit. Nichteintreten.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Soweit im Hintergrund ein Anwesenheitsanspruch des Beschwerdeführers geltend gemacht wird, ist Beschwerde in öffentlich-rechtlichen Angelegenheiten nach Art. 82 ff. des Bundesgerichtsgesetzes vom 17. Juni 2005 (BGG, SR 173.110) zu erheben (vgl. BGr, 28. Mai 2021, 2C_246/2021, E. 1.3); andernfalls steht bloss die subsidiäre Verfassungsbeschwerde gemäss Art. 113 ff. BGG offen (Art. 83 lit. c Ziff. 2 e contrario BGG).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