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VB.2021.00064 vom 2. Dezember 2021</w:t>
      </w:r>
    </w:p>
    <w:p>
      <w:r>
        <w:t>ZH Verwaltungsgericht, 2021-12-02, DE</w:t>
      </w:r>
    </w:p>
    <w:p>
      <w:r>
        <w:rPr>
          <w:b/>
        </w:rPr>
        <w:t xml:space="preserve">Quelle: </w:t>
      </w:r>
      <w:r>
        <w:t>https://mcp.opencaselaw.ch/entscheid/zh_verwaltungsgericht__VB.2021.00064</w:t>
      </w:r>
    </w:p>
    <w:p>
      <w:r>
        <w:t>FR: ZH_VERWALTUNGSGERICHT VB.2021.00064 du 2 décembre 2021</w:t>
      </w:r>
    </w:p>
    <w:p>
      <w:r>
        <w:t>IT: ZH_VERWALTUNGSGERICHT VB.2021.00064 del 2 dicembre 2021</w:t>
      </w:r>
    </w:p>
    <w:p>
      <w:pPr>
        <w:pStyle w:val="Heading2"/>
      </w:pPr>
      <w:r>
        <w:t>Regeste</w:t>
      </w:r>
    </w:p>
    <w:p>
      <w:r>
        <w:t>Baubewilligung Mobilfunkantenne | Beurteilung adaptiver Antennen nach dem Worst-Case-Szenario; Einordnung. Die Worst-Case-Beurteilung im Rahmen der Berechnung der Strahlung bei einer adaptiven Antennenanlage nach dem maximalen Gesprächs- und Datenverkehr bei maximaler Sendeleistung stellt eine mit Ziffer 63 Anhang 1 NISV vereinbare Berechnungsmethode dar, um die Einhaltung der Anlagegrenzwerte einer Mobilfunkanlage sicherzustellen (E. 4.1.2). Entgegen den Beschwerdeführenden spricht nichts dafür, dass die Einhaltung der Grenzwerte mittels QS-System sowie mittels Abnahmemessung nicht gewährleistet werden kann (E. 5). Das umweltrechtliche Vorsorgeprinzip ist nicht verletzt (E. 7). Die Gestaltung der Anlagen entspricht der Voraussetzung von § 238 Abs. 1 PBG (E. 8). Nur betreffend eine der streitbetroffenen Antennenanlagen machen die Beschwerdeführenden vor Verwaltungsgericht geltend, die Baugesuchsunterlagen – namentlich das Standortdatenblatt – seien betreffend die OMEN fehlerhaft (E. 10). Zumal die Beschwerdeführenden genau angaben, an welchen sechs Orten sie von einer Überschreitung des Anlagegrenzwerts ausgingen, hätte sich die Vorinstanz damit materiell auseinandersetzen müssen. Dass die Vorinstanz die Rügen der Beschwerdeführenden nicht inhaltlich behandelte, erweist sich als umso problematischer, als mit dem Standortdatenblatt bzw. zusätzlich zum Standortdatenblatt weder eine Beschreibung über das gewählte Vorgehen zum Auffinden der relevanten OMEN noch entsprechende Berechnungsergebnisse (z.B. Feldstärkekarten) mitgeliefert wurden. Gemäss der einschlägigen Vollzugshilfe sollte dies bei komplexen Anlagen mit vielen Sendeantennen – wie der vorliegenden Antennenanlage mit neun Sendeantennen, die in drei verschiedene Hauptstrahlrichtungen abstrahlen – indes im Sinne der Transparenz gemacht werden. Bei solchen Anlagen sei das Auffinden der drei höchstbelasteten OMEN nicht offensichtlich und erfordere unter Umständen eine flächendeckende NIS-Berechnung (E. 10.3.1). Es bestehen mithin ernsthafteZweifel daran, dass die Anlagegrenzwerte unter den Oblichtern ohne NIS-Abschirmung – unter denen sich mutmasslich Arbeitsräume befinden – eingehalten werden. Abschliessend beurteilen lässt sich dies gestützt auf die Akten indes nicht (E. 10.3.2). Teilweise Gutheissung und (Sprung-)Rückweisung.</w:t>
      </w:r>
    </w:p>
    <w:p>
      <w:pPr>
        <w:pStyle w:val="Heading2"/>
      </w:pPr>
      <w:r>
        <w:t>Erwägungen</w:t>
      </w:r>
    </w:p>
    <w:p>
      <w:r>
        <w:rPr>
          <w:b/>
        </w:rPr>
        <w:t>E. 11</w:t>
      </w:r>
    </w:p>
    <w:p>
      <w:r>
        <w:t>Nach dem Gesagten ist die Beschwerde insofern teilweise gutzuheissen, als der vorinstanzliche Entscheid – soweit die Antennenanlage GEGL betroffen ist – und die Baubewilligung vom 4. Mai 2020 aufzuheben sind. Es ist eine Sprungrückweisung angezeigt. Der Beschwerdegegner 2 hat im Sinn der Erwägungen ergänzende Sachverhaltsabklärungen vorzunehmen und neu Entscheid zu fassen. In Bezug auf die Antennenanlage ZTGE ist die Beschwerde abzuweisen. Kann eine Rückweisung zu einer vollständigen Gutheissung des Antrags führen, gilt – besondere Umstände vorbehalten – die beschwerdeführende Partei mit Blick auf die Kosten- und Entschädigungsfolgen als obsiegend (BGr, 28. April 2014, 2C_846/2013, E. 3.2 f.). Ausgangsgemäss sind somit die Kosten des Beschwerdeverfahrens der bezüglich die Antennenanlage GEGL unterliegenden privaten Beschwerdegegnerin 1 und dem Beschwerdegegner 2 je zu einem Viertel aufzuerlegen (§ 13 Abs. 2 in Verbindung mit § 70 Abs. 2 VRG). Der Beschwerdegegnerin 3, die vor Verwaltungsgericht auf einen Antrag verzichtet hat, sind keine Kosten aufzuerlegen. Den bezüglich die Antennenanlage ZTGE unterliegenden Beschwerdeführenden sind die Kosten des Beschwerdeverfahrens zur Hälfte aufzuerlegen. Die Kosten des Rekursverfahrens sind nach demselben Verteilschlüssel neu zu verlegen. Bei diesem Ausgang sind keine Parteientschädigungen geschuldet.</w:t>
      </w:r>
    </w:p>
    <w:p>
      <w:r>
        <w:rPr>
          <w:b/>
        </w:rPr>
        <w:t>E. 12</w:t>
      </w:r>
    </w:p>
    <w:p>
      <w:r>
        <w:t>Es liegt ein Rückweisungsentscheid vor. Letztinstanzliche kantonale Rückweisungsentscheide sind als Zwischenentscheide im Sinn von Art. 93 des Bundesgerichtsgesetzes vom 17. Juni 2005 (BGG) zu qualifizieren (BGE 138 I 143 E. 1.2, 133 V 477 E. 4.2). Der vorliegende Entscheid ist daher vor Bundesgericht nur direkt anfechtbar, wenn er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