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VB.2021.00023 vom 8. Juli 2021</w:t>
      </w:r>
    </w:p>
    <w:p>
      <w:r>
        <w:t>ZH Verwaltungsgericht, 2021-07-08, DE</w:t>
      </w:r>
    </w:p>
    <w:p>
      <w:r>
        <w:rPr>
          <w:b/>
        </w:rPr>
        <w:t xml:space="preserve">Quelle: </w:t>
      </w:r>
      <w:r>
        <w:t>https://mcp.opencaselaw.ch/entscheid/zh_verwaltungsgericht__VB.2021.00023</w:t>
      </w:r>
    </w:p>
    <w:p>
      <w:r>
        <w:t>FR: ZH_VERWALTUNGSGERICHT VB.2021.00023 du 8 juillet 2021</w:t>
      </w:r>
    </w:p>
    <w:p>
      <w:r>
        <w:t>IT: ZH_VERWALTUNGSGERICHT VB.2021.00023 del 8 luglio 2021</w:t>
      </w:r>
    </w:p>
    <w:p>
      <w:pPr>
        <w:pStyle w:val="Heading2"/>
      </w:pPr>
      <w:r>
        <w:t>Regeste</w:t>
      </w:r>
    </w:p>
    <w:p>
      <w:r>
        <w:t>Aufenthaltsbewilligung | [Die Beschwerdeführerinnen ersuchen um Erteilung einer Kurzaufenthaltsbewilligung für die Beschwerdeführerin 1, die auf den Philippinen lebt, um ihre gleichgeschlechtliche Partnerschaft in der Schweiz eintragen zu können.] Die Beschwerdeführerin 1 kann unter bestimmten Voraussetzungen aus Bestimmungen der EMRK bzw. der Bundesverfassung einen Anwesenheitsanspruch in der Schweiz ableiten (E. 2.2). Die Beschwerdeführerin verfügt über ein gefestigtes Anwesenheitsrecht in der Schweiz (E. 2.3). Die Erteilung einer Aufenthaltsbewilligung gestützt auf Art. 44 AIG an die Beschwerdeführerin 2 erscheint wahrscheinlich (E. 2.4). Es liegen keine Indizien für eine Scheinpartnerschaft vor. Auch in der sexuellen Orientierung der Beschwerdeführerin 2, welche in der Schweiz zwei Beziehungen mit Männern führte und nun die gleichgeschlechtliche Partnerschaft mit der Beschwerdeführerin 1 eintragen möchte, ist kein solches Indiz zu sehen (E. 2.5). Schliesslich ist die Eintragung der Partnerschaft absehbar (E. 2.6). Abweisung UP/URB. Gutheissung.</w:t>
      </w:r>
    </w:p>
    <w:p>
      <w:pPr>
        <w:pStyle w:val="Heading2"/>
      </w:pPr>
      <w:r>
        <w:t>Erwägungen</w:t>
      </w:r>
    </w:p>
    <w:p>
      <w:r>
        <w:rPr>
          <w:b/>
        </w:rPr>
        <w:t>E. 4</w:t>
      </w:r>
    </w:p>
    <w:p>
      <w:r>
        <w:t>Ausgangsgemäss sind die Kosten des Rekurs- und des Beschwerdeverfahrens dem Beschwerdegegner aufzuerlegen (§ 13 Abs. 2 Satz 1 teilweise in Verbindung mit § 65a Abs. 2 VRG). D esgleichen hat dieser den Beschwerdeführerinnen antragsgemäss eine angemessene Parteientschädigung von insgesamt Fr. 2'000.- für das Rekurs- sowie Fr. 1'500.- für das Beschwerdeverfahren zu bezahlen (§ 17 Abs. 2 lit. a VRG). Da die Beschwerdeführerinnen für das Rekursverfahren eine Parteientschädigung von Fr. 2'088.95 beantragten, führt dies zur teilweisen Gutheissung der Beschwerde. Das Gesuch der Beschwerdeführerinnen um Gewährung der unentgeltlichen Rechtspflege nach § 16 VRG ist mangels Mittellosigkeit abzuweisen (vgl. E. 2.4.2), zumal die Beschwerdeführerin 2 darüber hinaus auch über Grundeigentum im Wert von 50'000.- Euro auf den Philippinen verfügt.</w:t>
      </w:r>
    </w:p>
    <w:p>
      <w:r>
        <w:rPr>
          <w:b/>
        </w:rPr>
        <w:t>E. 5</w:t>
      </w:r>
    </w:p>
    <w:p>
      <w:r>
        <w:t>Zur Rechtsmittelbelehrung des nachstehenden Dispositivs ist Folgendes zu erläutern: Soweit ein Anwesenheitsanspruch der Beschwerdeführerin 1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