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VB.2020.00870 vom 18. März 2021</w:t>
      </w:r>
    </w:p>
    <w:p>
      <w:r>
        <w:t>ZH Verwaltungsgericht, 2021-03-18, DE</w:t>
      </w:r>
    </w:p>
    <w:p>
      <w:r>
        <w:rPr>
          <w:b/>
        </w:rPr>
        <w:t xml:space="preserve">Quelle: </w:t>
      </w:r>
      <w:r>
        <w:t>https://mcp.opencaselaw.ch/entscheid/zh_verwaltungsgericht__VB.2020.00870</w:t>
      </w:r>
    </w:p>
    <w:p>
      <w:r>
        <w:t>FR: ZH_VERWALTUNGSGERICHT VB.2020.00870 du 18 mars 2021</w:t>
      </w:r>
    </w:p>
    <w:p>
      <w:r>
        <w:t>IT: ZH_VERWALTUNGSGERICHT VB.2020.00870 del 18 marzo 2021</w:t>
      </w:r>
    </w:p>
    <w:p>
      <w:pPr>
        <w:pStyle w:val="Heading2"/>
      </w:pPr>
      <w:r>
        <w:t>Regeste</w:t>
      </w:r>
    </w:p>
    <w:p>
      <w:r>
        <w:t>fehlendes Rechtsdomizil | [Auflösung einer GmbH wegen fehlenden Rechtsdomizils] Die Beschwerdeführenden bestreiten nicht, dass die Beschwerdeführerin 1 im fraglichen Zeitraum an der bis Anfang dieses Jahres im Handelsregister aufscheinenden Domiziladresse nicht (mehr) erreichbar war; der Beschwerdegegner verfügte demnach grundsätzlich zu Recht in Anwendung von Art. 153b HRegV in der bis am 31. Dezember 2020 geltenden Fassung ihre Auflösung (E. 2.3 ff.). Der gesetzliche Zustand wurde jedoch noch während des Beschwerdeverfahrens wiederhergestellt, weshalb das Verfahren teilweise, nämlich soweit sich die Beschwerde gegen die Auflösung der Beschwerdeführerin 1 richtet, gutzuheissen ist (E. 2.5). Die Bussenauflage erweist sich als zulässig, und der Beschwerdegegner hat das ihm bei der Festlegung der Bussenhöhe zustehende Ermessen pflichtgemäss ausgeübt (E. 3). Nachdem die teilweise Gutheissung der Beschwerde einzig auf die erst während des Beschwerdeverfahrens (verspätet) vorgenommene Domizilanmeldung des Beschwerdeführers 2 zurückzuführen ist, sind die Gerichtskosten den Beschwerdeführenden vollumfänglich aufzuerlegen (E. 5). Teilweise Gutheissung.</w:t>
      </w:r>
    </w:p>
    <w:p>
      <w:pPr>
        <w:pStyle w:val="Heading2"/>
      </w:pPr>
      <w:r>
        <w:t>Erwägungen</w:t>
      </w:r>
    </w:p>
    <w:p>
      <w:r>
        <w:rPr>
          <w:b/>
        </w:rPr>
        <w:t>E. 4</w:t>
      </w:r>
    </w:p>
    <w:p>
      <w:r>
        <w:t>Nach dem Gesagten ist die Beschwerde teilweise gutzuheissen und sind die Dispositiv-Ziff. 1 und 2 der Verfügung des Beschwerdegegners vom 30. November 2020 aufzuheben. Im Übrigen ist die Beschwerde abzuweisen.</w:t>
      </w:r>
    </w:p>
    <w:p>
      <w:r>
        <w:rPr>
          <w:b/>
        </w:rPr>
        <w:t>E. 5</w:t>
      </w:r>
    </w:p>
    <w:p>
      <w:r>
        <w:t>Nachdem die teilweise Gutheissung der Beschwerde einzig auf die erst während des Beschwerdeverfahrens (verspätet) vorgenommene Domizilanmeldung des Beschwerdeführers 2 zurückzuführen ist, sind die Gerichtskosten den Beschwerdeführenden vollumfänglich aufzuerlegen unter solidarischer Haftung füreinander je zur Hälfte (§ 65a Abs. 2 in Verbindung mit § 13 Abs. 2 Satz 1 sowie § 14 VRG; Kaspar Plüss, in: Alain Griffel [Hrsg.], Kommentar zum Verwaltungsrechtspflegegesetz des Kantons Zürich [VRG], 3. A., Zürich etc. 2014, § 14 N. 6, 9, 11 und 16; ferner Plüss, § 13 N. 66).</w:t>
      </w:r>
    </w:p>
    <w:p>
      <w:r>
        <w:rPr>
          <w:b/>
        </w:rPr>
        <w:t>E. 6</w:t>
      </w:r>
    </w:p>
    <w:p>
      <w:r>
        <w:t>Zur Rechtsmittelbelehrung im nachstehenden Urteilsdispositiv ist Folgendes zu erläutern: Öffentlich-rechtliche Entscheide, die in unmittelbarem Zusammenhang mit dem Zivilrecht stehen, unterliegen der Beschwerde in Zivilsachen. Dazu zählen insbesondere auch Entscheide über die Führung des Handelsregisters (Art. 72 Abs. 2 lit. b Ziff. 2 des Bundesgerichtsgesetzes vom 17. Juni 2005 [BGG, SR 173.110]). Da der Streitwert Fr. 30'000.-übersteigt (vgl. vorn 1.2), ist insofern auf das ordentliche Rechtsmittel nach Art. 72 ff. BGG zu verweisen (Art. 74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