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VB.2020.00862 vom 3. Juni 2021</w:t>
      </w:r>
    </w:p>
    <w:p>
      <w:r>
        <w:t>ZH Verwaltungsgericht, 2021-06-03, DE</w:t>
      </w:r>
    </w:p>
    <w:p>
      <w:r>
        <w:rPr>
          <w:b/>
        </w:rPr>
        <w:t xml:space="preserve">Quelle: </w:t>
      </w:r>
      <w:r>
        <w:t>https://mcp.opencaselaw.ch/entscheid/zh_verwaltungsgericht__VB.2020.00862</w:t>
      </w:r>
    </w:p>
    <w:p>
      <w:r>
        <w:t>FR: ZH_VERWALTUNGSGERICHT VB.2020.00862 du 3 juin 2021</w:t>
      </w:r>
    </w:p>
    <w:p>
      <w:r>
        <w:t>IT: ZH_VERWALTUNGSGERICHT VB.2020.00862 del 3 giugno 2021</w:t>
      </w:r>
    </w:p>
    <w:p>
      <w:pPr>
        <w:pStyle w:val="Heading2"/>
      </w:pPr>
      <w:r>
        <w:t>Regeste</w:t>
      </w:r>
    </w:p>
    <w:p>
      <w:r>
        <w:t>Unterschutzstellung Garten | Unterschutzstellung eines Gartens als Bestandteil einer sich über mehrere Parzellen erstreckenden Gartenanlage. Die fragliche Gartenanlage ist im Inventar der schützenswerten Gärten und Anlagen von kommunaler Bedeutung der Stadt Zürich verzeichnet und im ISOS aufgeführt (E. 2.1). Im angefochtenen Schutzentscheid wurde der Garten der Mitbeteiligten teilweise unter Schutz gestellt, wobei die Realisierung eines Hochbaus möglich sei (E. 2.2). Gartenanlagen können Schutzobjekte im Sinn von § 203 Abs. 1 lit. c und lit. f PBG sein (E. 3.1). Bei der Beantwortung der Frage, ob ein Objekt als wichtiger Zeuge zu qualifizieren ist oder es seine Umgebung wesentlich mitprägt, kommt allfällig vorhandenen Fachgutachten bei der Feststellung des Sachverhalts eine massgebliche Bedeutung zu (E. 3.4). Das gartendenkmalpflegerische Gutachten umfasst nur die Abklärung der Schutzwürdigkeit des Gartens der Mitbeteiligten und nicht diejenige der Gesamtanlage (E. 5.1). Weder im angefochtenen Beschluss noch im vorinstanzlichen Entscheid wurde die Gesamtanlage umfassend gewürdigt, in einem baurekursgerichtlichen Minderheitsvotum auf Gutheissung wird hingegen festgehalten, das Wertvollste an der Anlage sei der zusammenhängende, quartierprägende Grünraum (E. 5.2). Die Frage nach der Beeinträchtigung des Schutzobjekts als Ganzes, d. h. der gesamten Gartenanlage, lässt sich nicht ohne Kenntnis der Qualität dieses Schutzobjekts beurteilen (E. 5.3.1). Ohne dahingehende Abklärungen erweist sich das gartendenkmalpflegerische Gutachten als unvollständig und der Sachverhalt folglich als ungenügend festgestellt, weshalb die Sache zur Vervollständigung der notwendigen Abklärungen zurückzuweisen ist (E. 5.3.3). Teilweise Gutheissung.</w:t>
      </w:r>
    </w:p>
    <w:p>
      <w:pPr>
        <w:pStyle w:val="Heading2"/>
      </w:pPr>
      <w:r>
        <w:t>Erwägungen</w:t>
      </w:r>
    </w:p>
    <w:p>
      <w:r>
        <w:rPr>
          <w:b/>
        </w:rPr>
        <w:t>E. 6</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die Kosten des Rekurs- und des Beschwerdeverfahrens je zur Hälfte dem Beschwerdegegner und der Mitbeteiligten aufzuerlegen (§ 13 Abs. 2 Satz 1 in Verbindung mit § 65a Abs. 2 VRG). Der Beschwerdegegner und die Mitbeteiligte sind zudem je hälftig zu verpflichten, dem Beschwerdeführer eine angemessene Parteientschädigung zu bezahlen (§ 17 Abs. 2 VRG). Als angemessen erscheint für das Rekurs- und Beschwerdeverfahren ein Betrag von insgesamt Fr. 5'000.-.</w:t>
      </w:r>
    </w:p>
    <w:p>
      <w:r>
        <w:rPr>
          <w:b/>
        </w:rPr>
        <w:t>E. 7</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