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VB.2020.00786 vom 19. Oktober 2020</w:t>
      </w:r>
    </w:p>
    <w:p>
      <w:r>
        <w:t>ZH Verwaltungsgericht, 2020-10-19, DE</w:t>
      </w:r>
    </w:p>
    <w:p>
      <w:r>
        <w:rPr>
          <w:b/>
        </w:rPr>
        <w:t xml:space="preserve">Quelle: </w:t>
      </w:r>
      <w:r>
        <w:t>https://mcp.opencaselaw.ch/entscheid/zh_verwaltungsgericht__VB.2020.00786</w:t>
      </w:r>
    </w:p>
    <w:p>
      <w:r>
        <w:t>FR: ZH_VERWALTUNGSGERICHT VB.2020.00786 du 19 octobre 2020</w:t>
      </w:r>
    </w:p>
    <w:p>
      <w:r>
        <w:t>IT: ZH_VERWALTUNGSGERICHT VB.2020.00786 del 19 ottobre 2020</w:t>
      </w:r>
    </w:p>
    <w:p>
      <w:pPr>
        <w:pStyle w:val="Heading2"/>
      </w:pPr>
      <w:r>
        <w:t>Regeste</w:t>
      </w:r>
    </w:p>
    <w:p>
      <w:r>
        <w:t>Submission | Legitimation. Die zweitplatzierte Beschwerdeführerin beanstandet die Bewertung der Zuschlagskriterien. Indes verlangt sie nicht, dass ihr der Zuschlag erteilt wird oder dass das Submissionsverfahren wiederholt wird, sondern bloss, dass der Zuschlagsentscheid vom 19. Oktober 2020 aufgehoben und die Sache zur Neubeurteilung an die Vergabestelle zurückgewiesen wird. Im Rahmen der geforderten generellen Neubeurteilung durch die Vergabestelle wäre es der Beschwerdegegnerin grundsätzlich nicht verwehrt, auch über den Ausschluss von Anbieterinnen zu befinden; über einen Ausschluss kann noch mit dem Zuschlagsentscheid befunden werden. Da die Beschwerdegegnerin für den Fall einer Rückweisung bereits ankündigt, dass sie die Beschwerdeführerin ausschliessen müsste, ist für die Beurteilung, ob eine realistische Chance der Beschwerdeführerin besteht, mit ihrem Angebot zum Zug zu kommen, mithin zu prüfen, ob gegen sie Ausschlussgründe vorliegen (E. 2.2.1). Die Beschwerdegegnerin könnte die Beschwerdeführerin im Rahmen der von ihr geforderten Neubeurteilung aus mehreren Gründen vom Verfahren ausschliessen (E. 2.2.2-2.2.5).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2.2.1</w:t>
      </w:r>
    </w:p>
    <w:p>
      <w:r>
        <w:t>Die zweitplatzierte Beschwerdeführerin beanstandet die Bewertung der Zuschlagskriterien. Indes verlangt sie nicht, dass ihr der Zuschlag erteilt wird oder dass das Submissionsverfahren wiederholt wird, sondern bloss, dass der Zuschlagsentscheid vom 19. Oktober 2020 aufgehoben wird und die Sache zur Neubeurteilung an die Vergabestelle zurückgewiesen wird. Im Rahmen der geforderten generellen Neubeurteilung durch die Vergabestelle wäre es der Beschwerdegegnerin – entgegen dem Dafürhalten der Beschwerdeführerin  – grundsätzlich nicht verwehrt, auch über den Ausschluss von Anbieterinnen zu befinden; über einen Ausschluss kann noch mit dem Zuschlagsentscheid befunden werden (VGr, 17. Februar 2000, VB.1999.00015, E. 6c; vgl. Peter Galli/André Moser/Elisabeth Lang/Marc Steiner, Praxis des öffentlichen Beschaffungsrechts, 3. A., Zürich etc. 2013, S. 202 Rz. 449). Da die Beschwerdegegnerin für den Fall einer Rückweisung bereits ankündigt, dass sie die Beschwerdeführerin ausschliessen müsste, ist für die Beurteilung, ob eine realistische Chance der Beschwerdeführerin besteht, mit ihrem Angebot zum Zug zu kommen, mithin zu prüfen, ob gegen sie Ausschlussgründe vorliegen.</w:t>
      </w:r>
    </w:p>
    <w:p>
      <w:r>
        <w:rPr>
          <w:b/>
        </w:rPr>
        <w:t>E. 2.2.2</w:t>
      </w:r>
    </w:p>
    <w:p>
      <w:r>
        <w:t>In den Ausschreibungsunterlagen hiess es unter "Ziff. 6.1 Musskriterien" ausdrücklich, dass Angebote, welche die folgenden Musskriterien nicht erfüllen würden, nicht berücksichtigt würden. Dabei wurde unter anderem explizit die Erfüllung des gesamten Anforderungskatalogs "Auf- und Ausbau Grosslöschfahrzeug" vom März 2020 sowie die Einreichung einer Aufstellung der Service- und Wartungskosten über eine Lebensdauer von 15 Jahren verlangt. Das Zuschlagskriterium Gesamtpreis berechnete sich gemäss "Ziff. 6.2 Zuschlagskriterien im Detail" ausdrücklich "inkl. Service- und Wartungskosten über 15 Jahre". Musskriterien und Eignungskriterien sind keine identischen Begriffe. Nur letztere, nicht aber die Musskriterien, betreffen direkt die Eignung des Anbieters (vgl. Galli et al., S. 251 Rz. 582). Werden einzelne Mussanforderungen nicht erfüllt, so führt dies nicht zwingend zum Ausschluss aus dem Verfahren. Dies ergibt sich allein schon aus der Rechtsprechung, wonach ein Ausschluss aus dem Verfahren nicht überspitzt formalistisch sein darf (vgl. etwa VGr, 6. November 2014, VB.2014.00396, E. 5.1 mit weiteren Hinweisen). Die in der Ausschreibung enthaltenen Vorgaben an das Produkt müssen sachlich begründet sein. Der Vergabebehörde kommt indessen, wie bei der Bewertung von Eignungskriterien, ein erheblicher Ermessensspielraum zu, in den das Verwaltungsgericht nicht eingreift (Art. 16 Abs. 1 lit. a und Abs. 2 IVöB, § 50 Abs. 2 VRG sowie VGr, 27. Juli 2017, VB.2017.00367, E. 6.3; 29. Juli 2014, VB.2014.00175, E. 3.1; je mit weiteren Hinweisen; Galli et al., S. 241 Rz. 564).</w:t>
      </w:r>
    </w:p>
    <w:p>
      <w:r>
        <w:rPr>
          <w:b/>
        </w:rPr>
        <w:t>E. 2.2.3</w:t>
      </w:r>
    </w:p>
    <w:p>
      <w:r>
        <w:t>Die Beschwerdeführerin führte in ihrem Angebot zu den Offerten aus, dass für die periodische Kontrolle alle drei Jahre mit Kosten "pro 15 Jahre" über Fr. 3'600.- zu rechnen seien, wobei es sich um ungefähre Durchschnittswerte ohne Verschleiss- und Ersatzteile in Schweizerfranken inklusive 7,7% Mehrwertsteuer handle. Ansonsten gab die Beschwerdeführerin die Verrechnungs-Stundenansätze ihrer Servicetechniker bekannt (Fr. 145.00 pro Stunde; Stundenansatz komplett Fr. 185.00 in den Kantonen D, E, F, G und Fr. 195.00 in den übrigen Kantonen, jeweils ohne MWST). Zudem verwies die Beschwerdeführerin ohne Preisangabe auf den "Fahrgestellservice H", der alle zwei Jahre "in Ihrer LKW-Servicestelle" stattfinde. Demgegenüber reichte die Mitbeteiligte eine detaillierte Aufstellung der Service- und Wartungskosten inklusive Materialkosten ein. Der Beschwerdeführerin musste aufgrund der Ausschreibungsunterlagen klar sein, dass der unter Service- und Wartungskosten ausgewiesene Betrag ein zwingender Bestandteil des Zuschlagskriteriums "Gesamtpreis" bildete. Insofern war die von der Beschwerdeführerin eingereichte "Aufstellung" ungenügend, ist damit doch nicht ersichtlich, welcher Betrag im Rahmen des Zuschlagskriteriums "Gesamtpreis" zu berücksichtigen ist. Damit erscheint ein Ausschluss wegen Unvollständigkeit im Sinn von § 4a Abs. 1 lit. b IVöB-BeitrittsG und § 28 lit. h der Submissionsverordnung vom 23. Juli 2003 (SubmV) – wenn auch nicht als zwingend – zumindest als zulässig (vgl. VGr, 30. November 2017, VB.2017.00559, E. 4.2).</w:t>
      </w:r>
    </w:p>
    <w:p>
      <w:r>
        <w:rPr>
          <w:b/>
        </w:rPr>
        <w:t>E. 2.2.4</w:t>
      </w:r>
    </w:p>
    <w:p>
      <w:r>
        <w:t>Ebenfalls zu Recht beruft sich die Beschwerdegegnerin darauf, dass die Beschwerdeführerin entgegen Ziff. 3.5 des Anforderungskatalogs, wo unter dem Titel "Material" festgehalten wird, dass für das in der Beladeliste aufgeführte Material robuste und unfallsichere Halterungen montiert werden müssten; alle Gerätschaften seien in betriebsbereitem Zustand einzubauen bzw. zu haltern, in Ziff. 2.4 ihrer Offerte bloss festhält: "Der Materialeinbau erfolgt nach dem zu platzierenden Feuerwehrmaterial gemäss Ihrer Materialliste, dem verfügbaren Platz in den Geräteräumen und anlässlich einer Materialbesprechung bei uns im Werk.". Es ist vertretbar, dass die Beschwerdegegnerin darin nicht die erforderliche Garantie erblickt, dass sämtliches Material der Beladeliste tatsächlich eingebaut werden kann. Darauf, ob sich die Beschwerdeführerin gegenüber der Beschwerdegegnerin im Zusammenhang mit dem Verbauen von Material in der Vergangenheit im genannten Sinn auf eine derartige Bestimmung berufen hat – was die Beschwerdegegnerin behauptet, die Beschwerdeführerin aber bestreitet – kommt es hingegen nicht an. Eine nachträgliche Erklärung der Beschwerdeführerin änderte am Inhalt der Offerte der Beschwerdeführerin jedenfalls nichts; es gilt der Grundsatz der grundsätzlichen Unabänderbarkeit der Angebote (Galli et al., S. 312 Ziff. 710; vgl. auch § 24 lit. c SubmV). Damit wäre in einem diesbezüglichen Ausschluss kein überspitzter Formalismus zu erblicken. Hinzu kommt, dass diese in der Ausschreibung enthaltene Vorgabe an das Produkt nicht bloss sachlich begründet ist, sondern es bei der robusten und unfallsicheren Verstaubarkeit des Materials gemäss Beladeliste zweifellos um einen wesentlichen Aspekt des Auftrags geht.</w:t>
      </w:r>
    </w:p>
    <w:p>
      <w:r>
        <w:rPr>
          <w:b/>
        </w:rPr>
        <w:t>E. 2.2.5</w:t>
      </w:r>
    </w:p>
    <w:p>
      <w:r>
        <w:t>Zudem garantiert die Beschwerdeführerin – im Gegensatz zur Mitbeteiligten – nicht die in Ziff. 4.4 des Anforderungskatalogs unter dem Titel "Werksgarantie" geforderte Gewährleistungsdauer von mindestens zwei Jahren. Die Beschwerdeführerin hält in Ziff. 1.5 ihrer Offerte fest, dass bei von ihr nicht selbst hergestellten Baugruppen und Komponenten die Gewährleistungsbedingungen und -fristen der jeweiligen Lieferanten gelten. Die Beschwerdegegnerin bringt vor, dass die Beschwerdeführerin wesentliche Bestandteile des Auf- und Ausbaus, unter anderem die Mannschaftskabine, von einem Dritten beziehe, diese dann aber selbst einbaue, was die Beschwerdeführerin nicht bestreitet. Sie kenne weder die Lieferanten noch deren Gewährleistungsbedingungen und könne darum nicht beurteilen, ob die Lieferanten die geforderte Gewährleistung erbringen würden. Die Beschwerdeführerin behauptet demgegenüber, dass eine Gewährleistungsdauer von zwei Jahren der gesetzlichen Regelung entspreche und macht ohne weitere Belege geltend, dass sie von all ihren Lieferanten gewährt werde. Wie die Beschwerdegegnerin zu Recht vorbringt, ist die zweijährige Gewährleistungspflicht nach Art. 210 Abs. 4 des Bundesgesetzes betreffend die Ergänzung des Schweizerischen Zivilgesetzbuches (Fünfter Teil: Obligationenrecht) vom 30. März 1911 (OR) dispositiver Natur. Innerhalb der Schranken von Art. 210 Abs. 4 OR können die Fristen von Art. 210 Abs. 1 und 2 OR durch vertragliche Abrede verkürzt werden. Dies bedeutet, dass die Verjährungsfrist für neue Sachen dann nicht unter zwei Jahre und für gebrauchte Sachen nicht unter ein Jahr verkürzt werden darf, falls die Sache für den persönlichen oder familiären Gebrauch des Käufers bestimmt ist und der Verkäufer im Rahmen seiner beruflichen oder gewerblichen Tätigkeit handelt (Art. 201 Abs. 4 OR), was hier nicht der Fall ist (vgl. Müller-Chen, Handkommentar zum Schweizer Privatrecht – Vertragsverhältnisse Teil 1: Innominatkontrakte, Kauf, Tausch, Schenkung, Miete, Leihe, Zürich etc. 2016, Art. 210 OR, N. 10). Nach Art. 199 OR ist eine Vereinbarung über Aufhebung oder Beschränkung der Gewährleistungspflicht dann ungültig, wenn der Verkäufer dem Käufer die Gewährleistungsmängel arglistig verschwiegen hat. Demnach ist es ansonsten aber gar zulässig, die Gewährspflicht zu beschränken oder aufzuheben (Müller-Chen, a. a. O., Art. 199 OR N. 6). Die Einhaltung der Anforderung "Werksgarantie" durch die Beschwerdeführerin war aufgrund ihrer Erklärung somit tatsächlich nicht gesichert. Auch in Bezug auf die geforderte Gewährleistungsdauer erschiene ein Ausschluss mithin als zulässig, zumal die Vorgabe selbst sachlich begründet ist und kein überspitzter Formalismus erkennbar ist. Somit könnte die Beschwerdegegnerin die Beschwerdeführerin im Rahmen der von ihr geforderten Neubeurteilung aus mehreren Gründen vom Verfahren ausschliessen. Ob dies daneben auch aufgrund der übrigen von der Beschwerdegegnerin geltend gemachten Ausschlussgründe der Fall wäre, kann damit offenbleiben.</w:t>
      </w:r>
    </w:p>
    <w:p>
      <w:r>
        <w:rPr>
          <w:b/>
        </w:rPr>
        <w:t>E. 2.2.6</w:t>
      </w:r>
    </w:p>
    <w:p>
      <w:r>
        <w:t>Ob die Beschwerdeführerin im Rahmen der Zuschlagserteilung, deren Aufhebung die Beschwerdeführerin verlangt, tatsächlich ausgeschlossen wurde, kann ebenfalls offenbleiben. Jedenfalls wurde der Beschwerdeführerin von der Beschwerdegegnerin am 20. Oktober 2020 – unter Verweis auf drei Gründe – per E-Mail mitgeteilt wurde, dass sie aus dem Verfahren ausgeschlossen werde. Auf dem Dokument "Auswertung Submission Nr. FZ.2020.03" ist handschriftlich vermerkt: "gemäss Sitzung vom 15.10. mit RD GVZ -&gt; Ausschluss". Zudem wurde der Beschwerdeführerin mittels Schreiben vom 27. Oktober 2020 mitgeteilt, dass der Zuschlag einem anderen Bewerber erteilt worden sei, weil Vorgaben des Anforderungskatalogs nicht voll erfüllt und 177,6 von 200 möglichen Punkten erreicht worden seien. Damit läge – unabhängig davon, dass die Zuschlagsverfügung von vier gültigen Angeboten spricht – jedenfalls keine Situation vor, in der sich die Beschwerdegegnerin im vorliegenden Verfahren nicht mehr auf Ausschlussgründe berufen könnte (vgl. dazu VGr, 8. März 2006, VB.2005.00286 E. 2.5; 6. Februar 2020, VB.2019.00464, E. 4.3.6).</w:t>
      </w:r>
    </w:p>
    <w:p>
      <w:r>
        <w:rPr>
          <w:b/>
        </w:rPr>
        <w:t>E. 2.3</w:t>
      </w:r>
    </w:p>
    <w:p>
      <w:r>
        <w:t>Die Beschwerdeführerin hat nach dem Gesagten keine realistische Chance, mit dem eigenen Angebot zum Zug zu kommen. Die Gutheissung der Beschwerde führt aufgrund des beschwerdeführerischen Antrags auch nicht zu einer Wiederholung des Submissionsverfahrens, in welchem die Beschwerdeführerin ein neues Angebot einreichen könnte. Damit ist auf die Beschwerde nicht einzutreten.</w:t>
      </w:r>
    </w:p>
    <w:p>
      <w:r>
        <w:rPr>
          <w:b/>
        </w:rPr>
        <w:t>E. 3</w:t>
      </w:r>
    </w:p>
    <w:p>
      <w:r>
        <w:t>Angesichts dieses Ergebnisses wird das prozessuale Gesuch der Beschwerdeführerin um Gewährung der aufschiebenden Wirkung gegenstandslos.</w:t>
      </w:r>
    </w:p>
    <w:p>
      <w:r>
        <w:rPr>
          <w:b/>
        </w:rPr>
        <w:t>E. 4.1</w:t>
      </w:r>
    </w:p>
    <w:p>
      <w:r>
        <w:t>Bei diesem Ausgang des Verfahrens gilt die Beschwerdeführerin als unterliegend und wird kostenpflichtig (§ 65 a Abs. 2 in Verbindung mit § 13 Abs. 2 Satz 1 VRG). Angesichts der formellen Erledigung ist die Gerichtsgebühr in Anwendung von § 4 Abs. 2 der Gebührenverordnung des Verwaltungsgerichts vom 3. Juli 2018 angemessen zu reduzieren.</w:t>
      </w:r>
    </w:p>
    <w:p>
      <w:r>
        <w:rPr>
          <w:b/>
        </w:rPr>
        <w:t>E. 4.2</w:t>
      </w:r>
    </w:p>
    <w:p>
      <w:r>
        <w:t>Eine Parteientschädigung steht der Beschwerdeführerin aufgrund ihres Unterliegens von vornherein nicht zu. Der Beschwerdegegnerin steht trotz ihres Obsiegens keine Entschädigung zu, da ihr im Beschwerdeverfahren kein besonderer Aufwand im Sinn von § 17 Abs. 2 lit. a VRG entstanden ist; mit ihren Rechtsschriften hat sie zu einem wesentlichen Teil die ihr obliegende Begründung des von ihr geltend gemachten Ausschlusses der Beschwerdeführerin nachgeholt.</w:t>
      </w:r>
    </w:p>
    <w:p>
      <w:r>
        <w:rPr>
          <w:b/>
        </w:rPr>
        <w:t>E. 5</w:t>
      </w:r>
    </w:p>
    <w:p>
      <w:r>
        <w:t>Der Auftragswert übersteigt den für das Einladungsverfahren massgeblichen Schwellenwert für Lieferungen und Dienstleistungen (Art. 52 Abs. 1 lit. a in Verbindung mit Anhang 4 Ziff. 2 des Bundesgesetzes über das öffentliche Beschaffungswesen [BöB] vom 21. Juni 2019). Gegen diesen Beschluss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