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VB.2020.00712 vom 20. Januar 2021</w:t>
      </w:r>
    </w:p>
    <w:p>
      <w:r>
        <w:t>ZH Verwaltungsgericht, 2021-01-20, DE</w:t>
      </w:r>
    </w:p>
    <w:p>
      <w:r>
        <w:rPr>
          <w:b/>
        </w:rPr>
        <w:t xml:space="preserve">Quelle: </w:t>
      </w:r>
      <w:r>
        <w:t>https://mcp.opencaselaw.ch/entscheid/zh_verwaltungsgericht__VB.2020.00712</w:t>
      </w:r>
    </w:p>
    <w:p>
      <w:r>
        <w:t>FR: ZH_VERWALTUNGSGERICHT VB.2020.00712 du 20 janvier 2021</w:t>
      </w:r>
    </w:p>
    <w:p>
      <w:r>
        <w:t>IT: ZH_VERWALTUNGSGERICHT VB.2020.00712 del 20 gennaio 2021</w:t>
      </w:r>
    </w:p>
    <w:p>
      <w:pPr>
        <w:pStyle w:val="Heading2"/>
      </w:pPr>
      <w:r>
        <w:t>Regeste</w:t>
      </w:r>
    </w:p>
    <w:p>
      <w:r>
        <w:t>Aufenthaltsbewilligung (Wiedererwägung/Nichteintreten) | [Die Beschwerdeführerin 5, eine 1979 geborene Staatsangehörige Sri Lankas, und ihre vier (2004, 2005 und 2007) in der Schweiz geborenen Kinder wurden im Jahr 2016 wegen Sozialhilfebezugs rechtskräftig aus der Schweiz weggewiesen; statt auszureisen, ersuchten sie im Jahr 2019 zunächst erfolglos um Asyl und hernach um Wiedererwägung des ausländerrechtlichen Entscheids.] Nach Art. 14 Abs. 1 AsylG kann eine asylsuchende Person ab Einreichung des Asylgesuchs bis zur Ausreise nach einer rechtskräftig angeordneten Wegweisung kein Verfahren um Erteilung einer ausländerrechtlichen Aufenthaltsbewilligung einleiten, ausser es bestehe ein Anspruch auf deren Erteilung (E. 2.1). Hier hat sich die Sachlage seit der Wegweisung der Beschwerdeführenden insofern wesentlich geändert, als sich die Beschwerdeführenden 1–4 infolge ihrer fortgeschrittenen, insbesondere schulischen Integration neu auf das Recht auf Privatleben nach Art. 8 Abs. 1 EMRK berufen können, kann ihnen doch das rechtsmissbräuchliche Verhalten der Mutter und die Illegalität ihres Aufenthalts nur beschränkt vorgeworfen werden (E. 2.4). Das Verwaltungsgericht verzichtet auf eine Rückweisung und fällt einen materiellen Entscheid (E. 2.5). Aufgrund des langjährigen verschuldeten Sozialhilfebezugs der Beschwerdeführerin 5 und ihrer Familie besteht ein (unverändert) erhebliches öffentliches Interesse an ihrer Wegweisung; dieses hat jedoch aktuell hinter den gewichtigen persönlichen Interessen der Beschwerdeführenden 1–4 zurückzutreten, welche hier geboren wurden und ihr Heimatland nicht kennen (E. 3.2). Unter diesen Umständen ist den Beschwerdeführenden 1–4 gestützt auf das Recht auf Privatleben nach Art. 8 Abs. 1 EMRK eine Aufenthaltsbewilligung zu erteilen sowie ihrer Mutter, der sie derzeit allein betreuenden Beschwerdeführerin 5, eine von ihnen abgeleitete Aufenthaltsbewilligung im Rahmen der Bestimmungen zum (umgekehrten) Familiennachzug (E. 3.3). Gegenstandslosigkeit UP/Gutheissung URB. Gutheissung.</w:t>
      </w:r>
    </w:p>
    <w:p>
      <w:pPr>
        <w:pStyle w:val="Heading2"/>
      </w:pPr>
      <w:r>
        <w:t>Erwägungen</w:t>
      </w:r>
    </w:p>
    <w:p>
      <w:r>
        <w:rPr>
          <w:b/>
        </w:rPr>
        <w:t>E. 4</w:t>
      </w:r>
    </w:p>
    <w:p>
      <w:r>
        <w:t>Nach dem Gesagten ist die Beschwerde gutzuheissen und der Beschwerdegegner einzuladen, den Beschwerdeführenden eine Aufenthaltsbewilligung zu erteilen.</w:t>
      </w:r>
    </w:p>
    <w:p>
      <w:r>
        <w:rPr>
          <w:b/>
        </w:rPr>
        <w:t>E. 5.1</w:t>
      </w:r>
    </w:p>
    <w:p>
      <w:r>
        <w:t>Ausgangsgemäss sind die Kosten des Rekurs- und des Beschwerdeverfahrens dem Beschwerdegegner aufzuerlegen (§ 13 Abs. 2 Satz 1 teilweise in Verbindung mit § 65a Abs. 2 VRG). Desgleichen hat dieser den Beschwerdeführenden antragsgemäss eine angemessene Parteientschädigung von Fr. 2'000.- (zuzüglich Mehrwertsteuer) für das Rekurs- und Fr. 1'500.- (zuzüglich Mehrwertsteuer) für das Beschwerdeverfahren zu bezahlen (§ 17 Abs. 2 VRG).</w:t>
      </w:r>
    </w:p>
    <w:p>
      <w:r>
        <w:rPr>
          <w:b/>
        </w:rPr>
        <w:t>E. 5.2</w:t>
      </w:r>
    </w:p>
    <w:p>
      <w:r>
        <w:t>Die Beschwerdeführenden ersuchen um unentgeltliche Rechtspflege und -vertretung für das Rekurs- und das Beschwerdeverfahren.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Durch die Kostenbelastung des Beschwerdegegners werden die Gesuche um unentgeltliche Prozessführung gegenstandslos. Die Beschwerdeführenden sind sodann offenkundig mittellos, die Rechtsmittelerhebung war begründet, und die Rechtsvertretung erweist sich angesichts der sich stellenden Rechtsfragen als notwendig. Demnach sind die Gesuche um unentgeltliche Rechtsvertretung gutzuheissen und ist den Beschwerdeführenden in der Person ihres Rechtsvertreters lic. iur. F ein unentgeltlicher Rechtsbeistand für das Rekurs- und das Beschwerdeverfahren zu bestellen.</w:t>
      </w:r>
    </w:p>
    <w:p>
      <w:r>
        <w:rPr>
          <w:b/>
        </w:rPr>
        <w:t>E. 5.3</w:t>
      </w:r>
    </w:p>
    <w:p>
      <w:r>
        <w:t>Gemäss § 9 Abs. 1 der Gebührenverordnung des Verwaltungsgerichts vom 3. Juli 2018 (LS 175.252) wird der unentgeltlichen Rechtsvertretung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3 der Verordnung über die Anwaltsgebühren vom 8. September 2010 (LS 215.3) in der Regel Fr. 220.- pro Stunde für Rechtsanwälte/-innen; für vor Verwaltungsgericht regelmässig selbständig auftretende Juristen/-innen ohne Anwaltspatent gilt in der Regel ein Ansatz von Fr. 170.- pro Stunde. Der Rechtsvertreter der Beschwerdeführenden macht einen Aufwand von insgesamt 9 Stunden und 25 Minuten sowie Barauslagen im Betrag von Fr. 9.30 geltend. Dieser Aufwand ist als angemessen einzustufen. Demnach ist die Entschädigung des unentgeltlichen Rechtsbeistands für das verwaltungsgerichtliche Verfahren auf insgesamt Fr. 1'734.10 (inklusive Mehrwertsteuer) zu beziffern. Davon ist die dem Rechtsvertreter auszubezahlende Parteientschädigung von Fr. 1'615.50 (inklusive Mehrwertsteuer) in Abzug zu bringen, woraus eine Entschädigung von Fr. 118.60 (inklusive Mehrwertsteuer) resultiert. Die Beschwerdeführenden sind auf § 65a Abs. 2 in Verbindung mit § 16 Abs. 4 VRG aufmerksam zu machen, wonach eine Partei, der unentgeltliche Rechtsvertretung gewährt wurde, Nachzahlung leisten muss, sobald sie dazu in der Lage ist.</w:t>
      </w:r>
    </w:p>
    <w:p>
      <w:r>
        <w:rPr>
          <w:b/>
        </w:rPr>
        <w:t>E. 5.4</w:t>
      </w:r>
    </w:p>
    <w:p>
      <w:r>
        <w:t>Die Entschädigung des unentgeltlichen Rechtsvertreters für das Rekursverfahren ist von der Vorinstanz unter Anrechnung der Parteientschädigung festzusetzen.</w:t>
      </w:r>
    </w:p>
    <w:p>
      <w:r>
        <w:rPr>
          <w:b/>
        </w:rPr>
        <w:t>E. 6</w:t>
      </w:r>
    </w:p>
    <w:p>
      <w:r>
        <w:t>Zur Rechtsmittelbelehrung des nachstehenden Dispositivs ist Folgendes zu erläutern: Soweit ein Anwesenheitsanspruch der Beschwerdeführenden geltend gemacht wird, ist die Beschwerde in öffentlich-rechtlichen Angelegenheiten nach Art. 82 ff. BGG zulässig (BGr, 2. November 2017, 2C_260/2017, E. 1.1). Ansonsten steht die subsidiäre Verfassungs beschwerde gemäss Art. 113 ff. BGG offen (siehe Art. 83 lit. c Ziff. 2 e contrario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