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VB.2020.00679 vom 16. Dezember 2020</w:t>
      </w:r>
    </w:p>
    <w:p>
      <w:r>
        <w:t>ZH Verwaltungsgericht, 2020-12-16, DE</w:t>
      </w:r>
    </w:p>
    <w:p>
      <w:r>
        <w:rPr>
          <w:b/>
        </w:rPr>
        <w:t xml:space="preserve">Quelle: </w:t>
      </w:r>
      <w:r>
        <w:t>https://mcp.opencaselaw.ch/entscheid/zh_verwaltungsgericht__VB.2020.00679</w:t>
      </w:r>
    </w:p>
    <w:p>
      <w:r>
        <w:t>FR: ZH_VERWALTUNGSGERICHT VB.2020.00679 du 16 décembre 2020</w:t>
      </w:r>
    </w:p>
    <w:p>
      <w:r>
        <w:t>IT: ZH_VERWALTUNGSGERICHT VB.2020.00679 del 16 dicembre 2020</w:t>
      </w:r>
    </w:p>
    <w:p>
      <w:pPr>
        <w:pStyle w:val="Heading2"/>
      </w:pPr>
      <w:r>
        <w:t>Regeste</w:t>
      </w:r>
    </w:p>
    <w:p>
      <w:r>
        <w:t>Widerruf der Aufenthaltsbewilligung EU/EFTA | Scheinehe mit ausserehelicher Parallelbeziehung. Kognition, Novenrecht und anwendbares Recht (E. 1). Keine Verletzung des rechtlichen Gehörs, der Untersuchungsmaxime, der Begründungspflicht, des Akteneinsichtsrechts und des Beschleunigungsgebots durch die Vorinstanzen (E. 2). Rechtsmissbräuchliche Berufung auf eine nur aus ausländerrechtlichen Motiven eingegangene oder aufrechterhaltene Ehe: Vorliegend deuten zahlreiche Indizien auf eine Scheinehe und eine aussereheliche Parallelbeziehung der Ehefrau des Beschwerdeführers hin, sodass insgesamt keine ernsthaften Zweifel daran bestehen, dass die Ehe des Beschwerdeführers allein der Aufenthaltssicherung diente und seine Ehefrau jahrelang eine aussereheliche Parallelbeziehung führte (E. 3.). Verneinung von konventions- oder verfassungsrechtlich geschützter Beziehungen zur hiesigen Bevölkerung (E. 4). Verneinung eines nachehelichen Aufenthaltsanspruchs aufgrund des rechtsmissbräuchlichen Verhaltens des Beschwerdeführers (E. 5.1). Verneinung eines schwerwiegenden persönlichen Härtefalls, keine Vollzugshindernisse (E. 5.2). Ausgangsgemässe Regelung der Kosten- und Entschädigungsfolgen, Abweisung des Gesuchs um unentgeltliche Rechtspflege zufolge offensichtlicher Aussichtslosigkeit sowie Rechtsmittelbelehrung (E. 6 ff.). Abweisung der Beschwerde.</w:t>
      </w:r>
    </w:p>
    <w:p>
      <w:pPr>
        <w:pStyle w:val="Heading2"/>
      </w:pPr>
      <w:r>
        <w:t>Erwägungen</w:t>
      </w:r>
    </w:p>
    <w:p>
      <w:r>
        <w:rPr>
          <w:b/>
        </w:rPr>
        <w:t>E. 4</w:t>
      </w:r>
    </w:p>
    <w:p>
      <w:r>
        <w:t>Im Sinn von Art. 8 der Europäischen Menschenrechtskonvention (EMRK) bzw. Art. 13 Abs. 1 der Bundesverfassung (BV) konventions- oder verfassungsrechtlich geschützte Beziehungen zur hiesigen Bevölkerung werden weder substanziiert geltend gemacht noch sind solche ersichtlich: Der Beschwerdeführer hat sich sein hiesiges Aufenthaltsrecht in den letzten fünf Jahren durch die Vortäuschung einer ehelichen Beziehung erschlichen und musste seither jederzeit damit rechnen, das Land nach Aufdeckung seiner Scheinehe verlassen zu müssen. Bereits zuvor konnte er nur aufgrund der aufschiebenden Wirkung der von ihm eingelegten Rechtsmittel im Land verbleiben. Einem solchermassen prekären Aufenthalt ist praxisgemäss kein besonderes Gewicht beizumessen (vgl. VGr, 19. Dezember 2018, VB.2018.00653, E. 4.3.1). Auch sonst sind keine besonders intensiven, über eine normale Integration hinausgehende private Beziehungen zum ausserfamiliären bzw. ausserhäuslichen Bereich ersichtlich. Dies gilt aufgrund des rechtsmissbräuchlichen Verhaltens des Beschwerdeführers selbst dann, wenn im Sinn der jüngsten bundesgerichtlichen Praxis davon ausgegangen wird, dass nach einer rechtmässigen Aufenthaltsdauer von zehn Jahren die sozialen Beziehungen in der Schweiz grundsätzlich so eng geworden sind, dass es für eine Aufenthaltsbeendigung besonderer Gründe bedarf und insofern ein bedingter Bewilligungsanspruch besteht (vgl. Art. 8 Abs. 2 EMRK sowie BGr, 17. September 2018, 2C_441/2018, E. 1.3.1; BGr, 20. Juli 2018, 2C_1035/2017, E. 5.1 f.; BGE 144 I 266 E. 3.9).</w:t>
      </w:r>
    </w:p>
    <w:p>
      <w:r>
        <w:rPr>
          <w:b/>
        </w:rPr>
        <w:t>E. 5.1</w:t>
      </w:r>
    </w:p>
    <w:p>
      <w:r>
        <w:t>Aufgrund des rechtsmissbräuchlichen Verhaltens des Beschwerdeführers entfällt auch ein nachehelicher Aufenthaltsanspruch im Sinn von Art. 50 Abs. 1 lit. a AIG oder ein nachehelicher Härtefall in Sinn von Art. 50 Abs. 1 lit. b in Verbindung mit Art. 50 Abs. 2 AIG. Überdies würden selbst bei Annahme einer zumindest zu Beginn gelebten Ehegemeinschaft die vorgebrachten Gründe für einen (nachehelichen) Härtefall in keinem relevanten Konnex mit der (behaupteten) Ehegemeinschaft stehen, weshalb auch deshalb ein Aufenthaltsanspruch im Sinn der genannten Bestimmungen entfallen müsste (BGE 137 II 345 E. 3.2.3; VGr, 2. Oktober 2013, VB.2013.00349, E. 2.3.1). Aufgrund des ohnehin rechtsmissbräuchlichen Verhaltens des Beschwerdeführers kann offenbleiben, ob er mit der Vortäuschung einer gelebten Ehe auch den Widerrufsgrund von Art. 62 Abs. 1 lit. a AIG gesetzt hat.</w:t>
      </w:r>
    </w:p>
    <w:p>
      <w:r>
        <w:rPr>
          <w:b/>
        </w:rPr>
        <w:t>E. 5.2</w:t>
      </w:r>
    </w:p>
    <w:p>
      <w:r>
        <w:t>Gemäss Art. 30 Abs. 1 lit. b AIG kann von den Zulassungs­voraussetzungen abgewichen werden, um schwerwiegenden persönlichen Härtefällen oder wichtigen öffentlichen Interessen Rechnung zu tragen. Sodann können Vollzugshindernisse nach Art. 83 AIG einer Wegweisung entgegenstehen. Der Beschwerdeführer bestreitet zusammengefasst die Zumutbarkeit einer Rückkehr nach Indien, da er seinen Lebensmittelpunkt in der Schweiz habe und hier integriert sei, während er sich seiner indischen Heimat entfremdet habe. Weiter bringt er vor, viel Geld in seine hiesige Ausbildung investiert zu haben. Überdies verweist er auf die Covid-19-Pandemie. Die Integration des Beschwerdeführers geht jedoch nicht über übliche Integrationserwartungen hinaus: Die von ihm behaupteten Deutschkenntnisse sind nicht durch entsprechende Zertifikate nachgewiesen worden und können aufgrund seiner langen Landesanwesenheit ohnehin erwartet werden. Ebenso stellen sein bisheriges Legalverhalten und seine existenzsichernde Erwerbstätigkeit keine besonderen Leistungen dar. Auch dass er seinen Lebensmittelpunkt in die Schweiz verlegt hat und nicht mehr nach Indien zurückkehren möchte, lässt ihn hier noch nicht derart verwurzelt und seiner Heimat entfremdet erscheinen, als dass ihm eine Rückkehr nach Indien nicht mehr zuzumuten wäre, wo er aufgewachsen und sozialisiert worden ist. Sodann ist er mit den dortigen Verhältnissen nach wie vor vertraut, zumal er seine Heimat während seines Aufenthalts in der Schweiz wiederholt besucht hatte. Auch der Umstand, dass der Beschwerdeführer viel Geld in seine Ausbildung in der Schweiz investiert bzw. beim (angeblichen) Konkurs einer der von ihm besuchten Schulen verloren hatte, begründet keinen Härtefall: Der Beschwerdeführer konnte in der Schweiz seine Ausbildung beenden und einen Mastertitel erwerben. Mit dem Abschluss seiner Ausbildung hatte sich der ursprüngliche Zweck seines Aufenthalts erfüllt und er hätte das Land verlassen müssen. Soweit der Beschwerdeführer durch ein angebliches Fehlverhalten einer hier tätigen (privaten) Ausbildungsstätte finanziell zu Schaden gekommen sein sollte, hätte er sich hiergegen mit zivil-, betreibungs- und allenfalls strafrechtlichen Mitteln wehren können. Hingegen ist nicht nachvollziehbar, inwiefern die hiesigen Behörden im Allgemeinen und die Migrationsbehörden im Speziellen für die vom Beschwerdeführer selbst getroffene Wahl einer privaten Ausbildungsstätte verantwortlich sein sollen. Vielmehr war im ausländerrechtlichen Bewilligungsverfahren lediglich die Einhaltung der in Art. 27 AIG und Art. 23 und 24 VZAE umschriebenen ausländerrechtlichen Zulassungsvoraussetzungen zu überprüfen (vgl. VGr, 17. April 2019, VB.2019.00139, E. 6.4). Die Covid-19-Pandemie und ihre Auswirkungen stehen sodann in keinerlei relevantem Konnex zum ehebedingten Aufenthalt des Beschwerdeführers in der Schweiz und betreffen diesen nicht stärker als seine Landsleute in Indien. Die wirtschaftlichen Auswirkungen und gesundheitlichen Risiken der Pandemie betreffen überdies nicht nur Indien, sondern auch die Schweiz. Es ist sodann weder ersichtlich noch wird geltend gemacht, dass der Beschwerdeführer einer durch das Virus besonders gefährdeten Risikogruppe angehören würde. Der Covid-19-Pandemie und der entsprechenden Einschränkungen wird damit lediglich bei der Ansetzung der Ausreisefrist Rechnung zu tragen sein, ohne dass sich hieraus ein Härtefall oder ein dauerndes Vollzugshindernis im Sinn von Art. 83 AIG ergibt (vgl. auch BGr, 8. Juni 2020, 2C_301/2020, E. 4.2.3). Weitere Umstände, die einen Härtefall begründen oder dem Wegweisungsvollzug entgegenstehen könnten, sind weder ersichtlich noch werden solche substanziiert geltend gemacht. Mangels Eingriff in das verfassungs- und konventionsrechtlich geschützte Familien und Privatleben oder Verletzung von Freizügigkeitsrechten stehen auch keine völkerrechtlichen Verpflichtungen der Wegweisung des Beschwerdeführers entgegen. Die Sache erscheint damit spruchreif und von weiteren Beweiserhebungen kann im dargelegten Sinn in antizipierter Beweiswürdigung abgesehen werden. Des Weiteren kann auch im verwaltungsgerichtlichen Verfahren auf die nach wie vor zutreffenden vorinstanzlichen Erwägungen verwiesen werden (§ 28 Abs. 1 Satz 2 in Verbindung mit § 70 VRG). Die Beschwerde ist damit abzuweisen.</w:t>
      </w:r>
    </w:p>
    <w:p>
      <w:r>
        <w:rPr>
          <w:b/>
        </w:rPr>
        <w:t>E. 6</w:t>
      </w:r>
    </w:p>
    <w:p>
      <w:r>
        <w:t>Ausgangsgemäss sind die Gerichtskosten dem Beschwerdeführer aufzuerlegen und ist ihm keine Parteientschädigung zuzusprechen (§ 65a Abs. 2 in Verbindung mit § 13 Abs. 2 Satz 1 und § 17 Abs. 2 VRG).</w:t>
      </w:r>
    </w:p>
    <w:p>
      <w:r>
        <w:rPr>
          <w:b/>
        </w:rPr>
        <w:t>E. 7</w:t>
      </w:r>
    </w:p>
    <w:p>
      <w:r>
        <w:t>Bei der dargelegten Sach- und Rechtslage erscheinen die Rechtsbegehren des Beschwerdeführers im Sinn von § 16 Abs. 1 und 2 VRG offensichtlich aussichtslos, weshalb auch das eventualiter gestellte Gesuch um unentgeltliche Rechtspflege abzuweisen ist.</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