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VB.2020.00647 vom 23. November 2020</w:t>
      </w:r>
    </w:p>
    <w:p>
      <w:r>
        <w:t>ZH Verwaltungsgericht, 2020-11-23, DE</w:t>
      </w:r>
    </w:p>
    <w:p>
      <w:r>
        <w:rPr>
          <w:b/>
        </w:rPr>
        <w:t xml:space="preserve">Quelle: </w:t>
      </w:r>
      <w:r>
        <w:t>https://mcp.opencaselaw.ch/entscheid/zh_verwaltungsgericht__VB.2020.00647</w:t>
      </w:r>
    </w:p>
    <w:p>
      <w:r>
        <w:t>FR: ZH_VERWALTUNGSGERICHT VB.2020.00647 du 23 novembre 2020</w:t>
      </w:r>
    </w:p>
    <w:p>
      <w:r>
        <w:t>IT: ZH_VERWALTUNGSGERICHT VB.2020.00647 del 23 novembre 2020</w:t>
      </w:r>
    </w:p>
    <w:p>
      <w:pPr>
        <w:pStyle w:val="Heading2"/>
      </w:pPr>
      <w:r>
        <w:t>Regeste</w:t>
      </w:r>
    </w:p>
    <w:p>
      <w:r>
        <w:t>Submission | Ausschluss aus dem Präqualifikationsverfahren. Gemäss § 4a Abs. 1 IVöB-BeitrittsG werden Anbietende aus dem Vergabeverfahren ausgeschlossen, wenn sie die Voraussetzungen für die Teilnahme nicht oder nicht mehr erfüllen (E. 3.1). In Ziff. 4.1 des Ausschreibungsdokuments T1.1 "Allgemeinen Ausschreibungsunterlagen, selektives Verfahren" führte die Beschwerdegegnerin unter der Überschrift "Ausschlussgründe" aus, dass die Mindestanforderungen erfüllt sein müssen. Die Nichterfüllung einer Mindestanforderung führe zum Ausschluss vom Verfahren. (...). Mit ihrer Selbstdeklaration erfüllte die Beschwerdeführerin die Mindestanforderungen nicht (E. 3.2.1). Dass es sich bei einem derartigen Ausschluss um einen überspitzten Formalismus handeln würde, ist nicht ersichtlich. Die Ausschreibungsunterlagen waren klar und es handelte sich – aufgrund der Selbstdeklaration der Beschwerdeführerin und ihres fehlenden Bonitätsnachweises – nicht um ein offensichtliches Versehen der Anbieterin (E. 3.2.3).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Der Entscheid über die Präqualifikation im selektiven Vergabeverfahren ist selbständig mit Beschwerde anfechtbar (Art. 15 Abs. 1 bis lit. c IVöB). 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 Diese Rechtsprechung gilt auch bei Beschwerden gegen Präqualifikationsentscheide (VGr, 22. Juni 2017, VB.2017.00283, E. 2; 17. September 2015, VB.2015.00300, E. 2.1).</w:t>
      </w:r>
    </w:p>
    <w:p>
      <w:r>
        <w:rPr>
          <w:b/>
        </w:rPr>
        <w:t>E. 2.2</w:t>
      </w:r>
    </w:p>
    <w:p>
      <w:r>
        <w:t>Die Beschwerdeführerin wehrt sich gegen den Ausschluss ihres Angebots aus dem Verfahren. Würde sie mit ihren Rügen durchdringen, hätte sie eine realistische Chance, dass sie bezüglich der Lose 1 und 2 für die 2. Stufe des Vergabeverfahrens zugelassen würde, weshalb ihre Legitimation zu bejahen ist.</w:t>
      </w:r>
    </w:p>
    <w:p>
      <w:r>
        <w:rPr>
          <w:b/>
        </w:rPr>
        <w:t>E. 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einem laufenden Konkursverfahren gegen eine Anbieterin (lit. e) sowie bei Erteilen von falschen Auskünften gegenüber der Vergabestelle (lit. i).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 Von einem überspitzten Formalismus ist eher dann auszugehen, wenn der Mangel auf eine Unklarheit der Ausschreibungsunterlagen oder ein offensichtliches Versehen des Anbieters zurückzuführen ist, als wenn er von diesem bewusst in Kauf genommen wurde.</w:t>
      </w:r>
    </w:p>
    <w:p>
      <w:r>
        <w:rPr>
          <w:b/>
        </w:rPr>
        <w:t>E. 3.2.1</w:t>
      </w:r>
    </w:p>
    <w:p>
      <w:r>
        <w:t>In Ziff. 4.1 des Ausschreibungsdokuments T1.1 "Allgemeinen Ausschreibungsunterlagen, selektives Verfahren" führte die Beschwerdegegnerin unter der Überschrift "Ausschlussgründe" aus, dass die Mindestanforderungen erfüllt sein müssen. Die Nichterfüllung einer Mindestanforderung führe zum Ausschluss vom Verfahren. Der Nachweis war mittels des vollständig ergänzten und rechtsgültig unterzeichneten Dokuments T1.2 "Mindestanforderungen und Eignungskriterien" zu erbringen. Als Ausschlussgründe wurde auf die Gründe nach § 4a Abs. 1 IVöB-BeitrittsG verwiesen. In Ziff. 2 des erwähnten Dokuments T1.2 hatten die Bewerberinnen unter der Überschrift "Selbstdeklaration, Mindestanforderungen" – neben anderen – die folgenden zwei Fragen zu beantworten: "Befinden Sie sich in einem Schuldbetreibungs- oder Konkursverfahren, sind Betreibungen hängig? Wenn ja; welche?" "Wurden bei Ihnen in den vergangenen zwölf Monaten Pfändungen vollzogen? Wenn ja: Auf welchen Betrag beliefen sich die entsprechenden Forderungen? Währung:… Betrag:…" Die Beschwerdeführerin kreuzte bei diesen beiden Fragen das mit "Ja" gekennzeichnete Kästchen an. Mit dieser Selbstdeklaration erfüllte die Beschwerdeführerin die Mindestanforderungen nicht, was gemäss Ziff. 4.1 des Dokuments T1.1 zum Ausschluss führt. Sodann war aufgrund dieser Antwort davon auszugehen, dass sich die Beschwerdeführerin in einem Konkursverfahren befindet und damit der Ausschlussgrund nach § 4a Abs. 1 lit. e IVöB-BeitrittsG erfüllt ist.</w:t>
      </w:r>
    </w:p>
    <w:p>
      <w:r>
        <w:rPr>
          <w:b/>
        </w:rPr>
        <w:t>E. 3.2.2</w:t>
      </w:r>
    </w:p>
    <w:p>
      <w:r>
        <w:t>Hinzu kommt, dass die Beschwerdeführerin ihren Bewerbungsunterlagen den gemäss dem Dokument T1.2 (Ziff. 3 S. 7 EK 4 und Ziff. 4) "zwingend" einzureichenden Bonitätsnachweis nicht beilegte. Somit bestand für die Beschwerdegegnerin einerseits kein Grund, daran zu zweifeln, dass die Selbstdeklaration in Ziff. 2 des Dokuments T1.2 korrekt war. Andererseits wurde damit eine Anforderung der Vergabestelle an die Nachweise nicht erfüllt, womit der Ausschlussgrund nach § 4a Abs. 1 lit. c IVöB-BeitrittsG gegeben war. Unter Ziff. 6 des Dokuments T1.2 war denn auch ausdrücklich darauf hingewiesen worden, dass bei Nichteinreichen der Nachweise oder bei Fehlen der oben verlangten Angaben Anbietende ausgeschlossen würden.</w:t>
      </w:r>
    </w:p>
    <w:p>
      <w:r>
        <w:rPr>
          <w:b/>
        </w:rPr>
        <w:t>E. 3.2.3</w:t>
      </w:r>
    </w:p>
    <w:p>
      <w:r>
        <w:t>Dass es sich bei einem derartigen Ausschluss um einen überspitzten Formalismus handeln würde, ist nicht ersichtlich. Die Ausschreibungsunterlagen waren klar und es handelte sich nach dem Gesagten – aufgrund der Selbstdeklaration der Beschwerdeführerin und ihres fehlenden Bonitätsnachweises – nicht um ein offensichtliches Versehen der Anbieterin.</w:t>
      </w:r>
    </w:p>
    <w:p>
      <w:r>
        <w:rPr>
          <w:b/>
        </w:rPr>
        <w:t>E. 3.3.1</w:t>
      </w:r>
    </w:p>
    <w:p>
      <w:r>
        <w:t>Die Beschwerdegegnerin wandte sich dennoch mit E-Mail vom 24. August 2020 an die Beschwerdeführerin. Sie teilte ihr mit, dass bei der Überprüfung der eingereichten Submissionsunterlagen folgende Abweichungen aufgefallen seien: "EK4 – Bonitätsnachweis; hängige Pfändungen, Informationen dazu nachreichen (Grund, Höhe)" und bat die Beschwerdeführerin darum, die entsprechenden Informationen bis am 26. August 2020 nachzureichen. In der Folge meldete sich die Beschwerdeführerin aber nicht bei ihr.</w:t>
      </w:r>
    </w:p>
    <w:p>
      <w:r>
        <w:rPr>
          <w:b/>
        </w:rPr>
        <w:t>E. 3.3.2</w:t>
      </w:r>
    </w:p>
    <w:p>
      <w:r>
        <w:t>Zumal die Bewerbungsunterlagen der Beschwerdeführerin wesentliche Mängel aufweisen und ihr Ausschluss zulässig ist (vgl. E. 3.2), kommt es für den Ausgang des Verfahrens ebenso wenig darauf an, ob die Beschwerdegegnerin ihre E‑Mail an die – bei der Beschwerdeführerin – verantwortliche Person gesendet hat, wie darauf, ob die E-Mail bei der Beschwerdeführerin im Spamordner ("Postfach 'Junk-E-Mail'") gelandet ist. Indes könnte der Beschwerdeführerin auch in der Sache nicht gefolgt werden. Sie hat es nämlich selbst zu verantworten, dass sie die Frist zur Stellungnahme unbenützt ablaufen liess: – Die Behauptung, dass die Beschwerdegegnerin eine andere Person als B hätte kontaktieren müssen, ist nicht haltbar, zumal sich dieser selbst im Zusammenhang mit dem Präqualifikationsverfahren im Namen der Beschwerdeführerin mehrfach per E‑Mail an die Beschwerdegegnerin gewandt hatte. In diesen E‑Mails bezeichnete er sich als "Head of …". Soweit die Beschwerdegegnerin die Auffassung vertritt, dass sich die von der Beschwerdeführerin in ihren Bewerbungsunterlagen aufgeführte Kontaktperson eindeutig auf das Projekt der Auftragsabwicklung des Mobiliars und nicht auf die Durchführung der Submission bezog und sie sich deshalb weiterhin an B wandte, ist dies nicht zu beanstanden. – Zumal bereits vor dem Versand der E-Mail vom 24. August 2020 ein E-Mail-Verkehr zwischen B und der Beschwerdegegnerin bestand und es sich bei der E-Mail der Beschwerdegegnerin nicht um einen Massenversand handelt, bestehen ernsthafte Zweifel daran, dass die Nachricht tatsächlich im Spamordner gelandet ist. Selbst wenn dies zutreffen sollte, so wäre dies im Übrigen im Risikobereich der Beschwerdeführerin gelegen und würde nichts daran ändern, dass sich die Vergabebehörde pflichtgemäss verhalten hat.</w:t>
      </w:r>
    </w:p>
    <w:p>
      <w:r>
        <w:rPr>
          <w:b/>
        </w:rPr>
        <w:t>E. 4.1</w:t>
      </w:r>
    </w:p>
    <w:p>
      <w:r>
        <w:t>Es ist nach dem Gesagten nicht zu beanstanden, dass die Beschwerdegegnerin das Angebot der Beschwerdeführerin vom weiteren Vergabeverfahren ausgeschlossen hat. Die Beschwerdegegnerin hat sich an die submissionsrechtlichen Vorgaben gehalten und im Rahmen des ihr zustehenden Ermessens entschieden; es ist weder ein überspitzt formalistisches noch ein rechtsmissbräuchliches Verhalten ersichtlich. Dies führt zur Abweisung der Beschwerde.</w:t>
      </w:r>
    </w:p>
    <w:p>
      <w:r>
        <w:rPr>
          <w:b/>
        </w:rPr>
        <w:t>E. 4.2</w:t>
      </w:r>
    </w:p>
    <w:p>
      <w:r>
        <w:t>Ausgangsgemäss sind die Kosten des Verfahrens der Beschwerdeführerin aufzuerlegen (§ 13 Abs. 2 Satz 1 in Verbindung mit § 65a Abs. 2 VRG).</w:t>
      </w:r>
    </w:p>
    <w:p>
      <w:r>
        <w:rPr>
          <w:b/>
        </w:rPr>
        <w:t>E. 5</w:t>
      </w:r>
    </w:p>
    <w:p>
      <w:r>
        <w:t>Der Auftragswert übersteigt den im Staatsvertragsbereich massgeblichen Schwellenwert für Lieferungen bzw. Dienstleistungen (Art. 1 lit. a und b der Verordnung des WBF vom 19. November 2019 über die Anpassung der Schwellenwerte im öffentlichen Beschaffungswesen für die Jahre 2020 und 2021 [SR 172.056.12]). Gegen dieses Urteil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